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1FB9205A" w:rsidR="00CB5035" w:rsidRPr="006E4E36" w:rsidRDefault="0050499D" w:rsidP="0051403E">
      <w:pPr>
        <w:spacing w:after="0"/>
      </w:pPr>
      <w:r w:rsidRPr="006E4E36">
        <w:rPr>
          <w:b/>
          <w:bCs/>
          <w:noProof/>
        </w:rPr>
        <w:drawing>
          <wp:anchor distT="0" distB="0" distL="114300" distR="114300" simplePos="0" relativeHeight="251658240" behindDoc="1" locked="1" layoutInCell="1" allowOverlap="1" wp14:anchorId="73799FE7" wp14:editId="2E3073DF">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62945682" w:rsidR="00203503" w:rsidRPr="006E4E36" w:rsidRDefault="00D3084C" w:rsidP="008C6F9B">
      <w:pPr>
        <w:pStyle w:val="Country"/>
      </w:pPr>
      <w:r w:rsidRPr="006E4E36">
        <w:t>C</w:t>
      </w:r>
      <w:r w:rsidR="00D53D95">
        <w:t>anada</w:t>
      </w:r>
      <w:r w:rsidR="00203503" w:rsidRPr="006E4E36">
        <w:rPr>
          <w:rStyle w:val="CountryChar"/>
          <w:b/>
          <w:bCs/>
        </w:rPr>
        <w:t xml:space="preserve"> | </w:t>
      </w:r>
      <w:r w:rsidR="00D53D95">
        <w:t>July 2024</w:t>
      </w:r>
    </w:p>
    <w:p w14:paraId="4E728DFF" w14:textId="77777777" w:rsidR="0050499D" w:rsidRPr="006E4E36"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6E4E36"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6E4E36" w:rsidRDefault="0050499D" w:rsidP="00345D57">
      <w:pPr>
        <w:pStyle w:val="Coverheader"/>
        <w:spacing w:before="120" w:after="120"/>
        <w:rPr>
          <w:i/>
          <w:iCs/>
        </w:rPr>
      </w:pPr>
      <w:r w:rsidRPr="006E4E36">
        <w:t>Branded Content</w:t>
      </w:r>
      <w:r w:rsidRPr="006E4E36">
        <w:tab/>
      </w:r>
    </w:p>
    <w:p w14:paraId="77A98E8B" w14:textId="1084C456" w:rsidR="0050499D" w:rsidRPr="006E4E36" w:rsidRDefault="0050499D" w:rsidP="00345D57">
      <w:pPr>
        <w:pStyle w:val="Coverheader"/>
        <w:spacing w:before="120" w:after="120"/>
        <w:rPr>
          <w:i/>
          <w:iCs/>
        </w:rPr>
      </w:pPr>
      <w:r w:rsidRPr="006E4E36">
        <w:t>Governance</w:t>
      </w:r>
      <w:r w:rsidR="00345D57" w:rsidRPr="006E4E36">
        <w:rPr>
          <w:i/>
          <w:iCs/>
        </w:rPr>
        <w:t xml:space="preserve"> </w:t>
      </w:r>
      <w:r w:rsidRPr="006E4E36">
        <w:t>Project</w:t>
      </w:r>
    </w:p>
    <w:p w14:paraId="4F0820FB" w14:textId="77777777" w:rsidR="0050499D" w:rsidRPr="006E4E36" w:rsidRDefault="0050499D" w:rsidP="0050499D">
      <w:pPr>
        <w:pStyle w:val="Coversubtitle"/>
        <w:ind w:left="0"/>
      </w:pPr>
    </w:p>
    <w:p w14:paraId="6533C830" w14:textId="77777777" w:rsidR="0050499D" w:rsidRPr="006E4E36" w:rsidRDefault="0050499D" w:rsidP="0050499D">
      <w:pPr>
        <w:pStyle w:val="Coversubtitle"/>
        <w:ind w:left="0"/>
      </w:pPr>
    </w:p>
    <w:p w14:paraId="576AAD42" w14:textId="77777777" w:rsidR="0050499D" w:rsidRPr="006E4E36" w:rsidRDefault="0050499D" w:rsidP="0050499D">
      <w:pPr>
        <w:pStyle w:val="Coversubtitle"/>
        <w:ind w:left="0"/>
      </w:pPr>
    </w:p>
    <w:p w14:paraId="40BBF1A5" w14:textId="77777777" w:rsidR="0050499D" w:rsidRPr="006E4E36" w:rsidRDefault="0050499D" w:rsidP="0050499D"/>
    <w:p w14:paraId="6DFA1317" w14:textId="5B345988" w:rsidR="0038594D" w:rsidRPr="006E4E36" w:rsidRDefault="00CB5035" w:rsidP="008146FD">
      <w:r w:rsidRPr="006E4E36">
        <w:br w:type="page"/>
      </w:r>
    </w:p>
    <w:p w14:paraId="49395DFF" w14:textId="77777777" w:rsidR="00147453" w:rsidRPr="006E4E36" w:rsidRDefault="00147453" w:rsidP="00147453">
      <w:pPr>
        <w:pStyle w:val="SectionHead"/>
        <w:numPr>
          <w:ilvl w:val="0"/>
          <w:numId w:val="0"/>
        </w:numPr>
        <w:rPr>
          <w:rFonts w:cs="Arial"/>
        </w:rPr>
      </w:pPr>
      <w:bookmarkStart w:id="0" w:name="_Toc172573281"/>
      <w:r w:rsidRPr="006E4E36">
        <w:rPr>
          <w:rFonts w:cs="Arial"/>
        </w:rPr>
        <w:lastRenderedPageBreak/>
        <w:t>Contents</w:t>
      </w:r>
      <w:bookmarkEnd w:id="0"/>
    </w:p>
    <w:p w14:paraId="4AED186F" w14:textId="77777777" w:rsidR="00147453" w:rsidRPr="006E4E36" w:rsidRDefault="00147453" w:rsidP="00581055">
      <w:pPr>
        <w:pStyle w:val="TOC1"/>
        <w:rPr>
          <w:rFonts w:ascii="Arial" w:hAnsi="Arial"/>
        </w:rPr>
      </w:pPr>
    </w:p>
    <w:p w14:paraId="038C989C" w14:textId="15661B6E" w:rsidR="00D53D95" w:rsidRPr="00D53D95" w:rsidRDefault="00147453">
      <w:pPr>
        <w:pStyle w:val="TOC1"/>
        <w:rPr>
          <w:rFonts w:ascii="Arial" w:eastAsiaTheme="minorEastAsia" w:hAnsi="Arial"/>
          <w:i w:val="0"/>
          <w:iCs w:val="0"/>
          <w:noProof/>
          <w:sz w:val="22"/>
          <w:szCs w:val="22"/>
          <w:lang w:eastAsia="en-GB"/>
        </w:rPr>
      </w:pPr>
      <w:r w:rsidRPr="006E4E36">
        <w:rPr>
          <w:rFonts w:ascii="Arial" w:hAnsi="Arial"/>
        </w:rPr>
        <w:fldChar w:fldCharType="begin"/>
      </w:r>
      <w:r w:rsidRPr="006E4E36">
        <w:rPr>
          <w:rFonts w:ascii="Arial" w:hAnsi="Arial"/>
        </w:rPr>
        <w:instrText xml:space="preserve"> TOC \h \z \t "Style2,2,Section Head,1" </w:instrText>
      </w:r>
      <w:r w:rsidRPr="006E4E36">
        <w:rPr>
          <w:rFonts w:ascii="Arial" w:hAnsi="Arial"/>
        </w:rPr>
        <w:fldChar w:fldCharType="separate"/>
      </w:r>
      <w:hyperlink w:anchor="_Toc172573281" w:history="1">
        <w:r w:rsidR="00D53D95" w:rsidRPr="00D53D95">
          <w:rPr>
            <w:rStyle w:val="Hyperlink"/>
            <w:rFonts w:ascii="Arial" w:hAnsi="Arial"/>
            <w:i w:val="0"/>
            <w:iCs w:val="0"/>
            <w:noProof/>
            <w:sz w:val="22"/>
            <w:szCs w:val="22"/>
          </w:rPr>
          <w:t>Contents</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_Toc172573281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w:t>
        </w:r>
        <w:r w:rsidR="00D53D95" w:rsidRPr="00D53D95">
          <w:rPr>
            <w:rFonts w:ascii="Arial" w:hAnsi="Arial"/>
            <w:i w:val="0"/>
            <w:iCs w:val="0"/>
            <w:noProof/>
            <w:webHidden/>
            <w:sz w:val="22"/>
            <w:szCs w:val="22"/>
          </w:rPr>
          <w:fldChar w:fldCharType="end"/>
        </w:r>
      </w:hyperlink>
    </w:p>
    <w:p w14:paraId="43C75B35" w14:textId="745E2459" w:rsidR="00D53D95" w:rsidRPr="00D53D95" w:rsidRDefault="00000000">
      <w:pPr>
        <w:pStyle w:val="TOC1"/>
        <w:rPr>
          <w:rFonts w:ascii="Arial" w:eastAsiaTheme="minorEastAsia" w:hAnsi="Arial"/>
          <w:i w:val="0"/>
          <w:iCs w:val="0"/>
          <w:noProof/>
          <w:sz w:val="22"/>
          <w:szCs w:val="22"/>
          <w:lang w:eastAsia="en-GB"/>
        </w:rPr>
      </w:pPr>
      <w:hyperlink w:anchor="_Toc172573282" w:history="1">
        <w:r w:rsidR="00D53D95" w:rsidRPr="00D53D95">
          <w:rPr>
            <w:rStyle w:val="Hyperlink"/>
            <w:rFonts w:ascii="Arial" w:hAnsi="Arial"/>
            <w:i w:val="0"/>
            <w:iCs w:val="0"/>
            <w:noProof/>
            <w:sz w:val="22"/>
            <w:szCs w:val="22"/>
          </w:rPr>
          <w:t>Introduction</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_Toc172573282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3</w:t>
        </w:r>
        <w:r w:rsidR="00D53D95" w:rsidRPr="00D53D95">
          <w:rPr>
            <w:rFonts w:ascii="Arial" w:hAnsi="Arial"/>
            <w:i w:val="0"/>
            <w:iCs w:val="0"/>
            <w:noProof/>
            <w:webHidden/>
            <w:sz w:val="22"/>
            <w:szCs w:val="22"/>
          </w:rPr>
          <w:fldChar w:fldCharType="end"/>
        </w:r>
      </w:hyperlink>
    </w:p>
    <w:p w14:paraId="5202E57B" w14:textId="5F01DC4A" w:rsidR="00D53D95" w:rsidRPr="00D53D95" w:rsidRDefault="00000000">
      <w:pPr>
        <w:pStyle w:val="TOC1"/>
        <w:rPr>
          <w:rFonts w:ascii="Arial" w:eastAsiaTheme="minorEastAsia" w:hAnsi="Arial"/>
          <w:i w:val="0"/>
          <w:iCs w:val="0"/>
          <w:noProof/>
          <w:sz w:val="22"/>
          <w:szCs w:val="22"/>
          <w:lang w:eastAsia="en-GB"/>
        </w:rPr>
      </w:pPr>
      <w:hyperlink w:anchor="_Toc172573283" w:history="1">
        <w:r w:rsidR="00D53D95" w:rsidRPr="00D53D95">
          <w:rPr>
            <w:rStyle w:val="Hyperlink"/>
            <w:rFonts w:ascii="Arial" w:hAnsi="Arial"/>
            <w:i w:val="0"/>
            <w:iCs w:val="0"/>
            <w:noProof/>
            <w:sz w:val="22"/>
            <w:szCs w:val="22"/>
          </w:rPr>
          <w:t>1.</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Country Data</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_Toc172573283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4</w:t>
        </w:r>
        <w:r w:rsidR="00D53D95" w:rsidRPr="00D53D95">
          <w:rPr>
            <w:rFonts w:ascii="Arial" w:hAnsi="Arial"/>
            <w:i w:val="0"/>
            <w:iCs w:val="0"/>
            <w:noProof/>
            <w:webHidden/>
            <w:sz w:val="22"/>
            <w:szCs w:val="22"/>
          </w:rPr>
          <w:fldChar w:fldCharType="end"/>
        </w:r>
      </w:hyperlink>
    </w:p>
    <w:p w14:paraId="542A88BB" w14:textId="0A762255" w:rsidR="00D53D95" w:rsidRPr="00D53D95" w:rsidRDefault="00000000">
      <w:pPr>
        <w:pStyle w:val="TOC1"/>
        <w:rPr>
          <w:rFonts w:ascii="Arial" w:eastAsiaTheme="minorEastAsia" w:hAnsi="Arial"/>
          <w:i w:val="0"/>
          <w:iCs w:val="0"/>
          <w:noProof/>
          <w:sz w:val="22"/>
          <w:szCs w:val="22"/>
          <w:lang w:eastAsia="en-GB"/>
        </w:rPr>
      </w:pPr>
      <w:hyperlink w:anchor="_Toc172573284" w:history="1">
        <w:r w:rsidR="00D53D95" w:rsidRPr="00D53D95">
          <w:rPr>
            <w:rStyle w:val="Hyperlink"/>
            <w:rFonts w:ascii="Arial" w:hAnsi="Arial"/>
            <w:i w:val="0"/>
            <w:iCs w:val="0"/>
            <w:noProof/>
            <w:sz w:val="22"/>
            <w:szCs w:val="22"/>
          </w:rPr>
          <w:t>2.</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Media System; Media and Advertising Markets</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_Toc172573284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5</w:t>
        </w:r>
        <w:r w:rsidR="00D53D95" w:rsidRPr="00D53D95">
          <w:rPr>
            <w:rFonts w:ascii="Arial" w:hAnsi="Arial"/>
            <w:i w:val="0"/>
            <w:iCs w:val="0"/>
            <w:noProof/>
            <w:webHidden/>
            <w:sz w:val="22"/>
            <w:szCs w:val="22"/>
          </w:rPr>
          <w:fldChar w:fldCharType="end"/>
        </w:r>
      </w:hyperlink>
    </w:p>
    <w:p w14:paraId="7ECC6118" w14:textId="4174E80D" w:rsidR="00D53D95" w:rsidRPr="00D53D95" w:rsidRDefault="00000000">
      <w:pPr>
        <w:pStyle w:val="TOC1"/>
        <w:rPr>
          <w:rFonts w:ascii="Arial" w:eastAsiaTheme="minorEastAsia" w:hAnsi="Arial"/>
          <w:i w:val="0"/>
          <w:iCs w:val="0"/>
          <w:noProof/>
          <w:sz w:val="22"/>
          <w:szCs w:val="22"/>
          <w:lang w:eastAsia="en-GB"/>
        </w:rPr>
      </w:pPr>
      <w:hyperlink w:anchor="_Toc172573285" w:history="1">
        <w:r w:rsidR="00D53D95" w:rsidRPr="00D53D95">
          <w:rPr>
            <w:rStyle w:val="Hyperlink"/>
            <w:rFonts w:ascii="Arial" w:hAnsi="Arial"/>
            <w:i w:val="0"/>
            <w:iCs w:val="0"/>
            <w:noProof/>
            <w:sz w:val="22"/>
            <w:szCs w:val="22"/>
          </w:rPr>
          <w:t>3.</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Communications: Legal and Regulatory Framework</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_Toc172573285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6</w:t>
        </w:r>
        <w:r w:rsidR="00D53D95" w:rsidRPr="00D53D95">
          <w:rPr>
            <w:rFonts w:ascii="Arial" w:hAnsi="Arial"/>
            <w:i w:val="0"/>
            <w:iCs w:val="0"/>
            <w:noProof/>
            <w:webHidden/>
            <w:sz w:val="22"/>
            <w:szCs w:val="22"/>
          </w:rPr>
          <w:fldChar w:fldCharType="end"/>
        </w:r>
      </w:hyperlink>
    </w:p>
    <w:p w14:paraId="01B5DCE5" w14:textId="67EE1551" w:rsidR="00D53D95" w:rsidRPr="00D53D95" w:rsidRDefault="00000000">
      <w:pPr>
        <w:pStyle w:val="TOC1"/>
        <w:rPr>
          <w:rFonts w:ascii="Arial" w:eastAsiaTheme="minorEastAsia" w:hAnsi="Arial"/>
          <w:i w:val="0"/>
          <w:iCs w:val="0"/>
          <w:noProof/>
          <w:sz w:val="22"/>
          <w:szCs w:val="22"/>
          <w:lang w:eastAsia="en-GB"/>
        </w:rPr>
      </w:pPr>
      <w:hyperlink w:anchor="_Toc172573286" w:history="1">
        <w:r w:rsidR="00D53D95" w:rsidRPr="00D53D95">
          <w:rPr>
            <w:rStyle w:val="Hyperlink"/>
            <w:rFonts w:ascii="Arial" w:hAnsi="Arial"/>
            <w:i w:val="0"/>
            <w:iCs w:val="0"/>
            <w:noProof/>
            <w:sz w:val="22"/>
            <w:szCs w:val="22"/>
          </w:rPr>
          <w:t>4.</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Advertising:  Legal and Regulatory Framework</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_Toc172573286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7</w:t>
        </w:r>
        <w:r w:rsidR="00D53D95" w:rsidRPr="00D53D95">
          <w:rPr>
            <w:rFonts w:ascii="Arial" w:hAnsi="Arial"/>
            <w:i w:val="0"/>
            <w:iCs w:val="0"/>
            <w:noProof/>
            <w:webHidden/>
            <w:sz w:val="22"/>
            <w:szCs w:val="22"/>
          </w:rPr>
          <w:fldChar w:fldCharType="end"/>
        </w:r>
      </w:hyperlink>
    </w:p>
    <w:p w14:paraId="38E7E461" w14:textId="21A68C72" w:rsidR="00D53D95" w:rsidRPr="00D53D95" w:rsidRDefault="00000000">
      <w:pPr>
        <w:pStyle w:val="TOC1"/>
        <w:rPr>
          <w:rFonts w:ascii="Arial" w:eastAsiaTheme="minorEastAsia" w:hAnsi="Arial"/>
          <w:i w:val="0"/>
          <w:iCs w:val="0"/>
          <w:noProof/>
          <w:sz w:val="22"/>
          <w:szCs w:val="22"/>
          <w:lang w:eastAsia="en-GB"/>
        </w:rPr>
      </w:pPr>
      <w:hyperlink w:anchor="_Toc172573287" w:history="1">
        <w:r w:rsidR="00D53D95" w:rsidRPr="00D53D95">
          <w:rPr>
            <w:rStyle w:val="Hyperlink"/>
            <w:rFonts w:ascii="Arial" w:hAnsi="Arial"/>
            <w:i w:val="0"/>
            <w:iCs w:val="0"/>
            <w:noProof/>
            <w:sz w:val="22"/>
            <w:szCs w:val="22"/>
          </w:rPr>
          <w:t>5.</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Advertising:  Self-regulation</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_Toc172573287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10</w:t>
        </w:r>
        <w:r w:rsidR="00D53D95" w:rsidRPr="00D53D95">
          <w:rPr>
            <w:rFonts w:ascii="Arial" w:hAnsi="Arial"/>
            <w:i w:val="0"/>
            <w:iCs w:val="0"/>
            <w:noProof/>
            <w:webHidden/>
            <w:sz w:val="22"/>
            <w:szCs w:val="22"/>
          </w:rPr>
          <w:fldChar w:fldCharType="end"/>
        </w:r>
      </w:hyperlink>
    </w:p>
    <w:p w14:paraId="33313701" w14:textId="32C7AD92" w:rsidR="00D53D95" w:rsidRPr="00D53D95" w:rsidRDefault="00000000">
      <w:pPr>
        <w:pStyle w:val="TOC1"/>
        <w:rPr>
          <w:rFonts w:ascii="Arial" w:eastAsiaTheme="minorEastAsia" w:hAnsi="Arial"/>
          <w:i w:val="0"/>
          <w:iCs w:val="0"/>
          <w:noProof/>
          <w:sz w:val="22"/>
          <w:szCs w:val="22"/>
          <w:lang w:eastAsia="en-GB"/>
        </w:rPr>
      </w:pPr>
      <w:hyperlink w:anchor="_Toc172573288" w:history="1">
        <w:r w:rsidR="00D53D95" w:rsidRPr="00D53D95">
          <w:rPr>
            <w:rStyle w:val="Hyperlink"/>
            <w:rFonts w:ascii="Arial" w:hAnsi="Arial"/>
            <w:i w:val="0"/>
            <w:iCs w:val="0"/>
            <w:noProof/>
            <w:sz w:val="22"/>
            <w:szCs w:val="22"/>
          </w:rPr>
          <w:t>6.</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Branded Content: General legal and regulatory framework</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_Toc172573288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14</w:t>
        </w:r>
        <w:r w:rsidR="00D53D95" w:rsidRPr="00D53D95">
          <w:rPr>
            <w:rFonts w:ascii="Arial" w:hAnsi="Arial"/>
            <w:i w:val="0"/>
            <w:iCs w:val="0"/>
            <w:noProof/>
            <w:webHidden/>
            <w:sz w:val="22"/>
            <w:szCs w:val="22"/>
          </w:rPr>
          <w:fldChar w:fldCharType="end"/>
        </w:r>
      </w:hyperlink>
    </w:p>
    <w:p w14:paraId="02180313" w14:textId="7FEBC0A3" w:rsidR="00D53D95" w:rsidRPr="00D53D95" w:rsidRDefault="00000000">
      <w:pPr>
        <w:pStyle w:val="TOC1"/>
        <w:rPr>
          <w:rFonts w:ascii="Arial" w:eastAsiaTheme="minorEastAsia" w:hAnsi="Arial"/>
          <w:i w:val="0"/>
          <w:iCs w:val="0"/>
          <w:noProof/>
          <w:sz w:val="22"/>
          <w:szCs w:val="22"/>
          <w:lang w:eastAsia="en-GB"/>
        </w:rPr>
      </w:pPr>
      <w:hyperlink w:anchor="_Toc172573289" w:history="1">
        <w:r w:rsidR="00D53D95" w:rsidRPr="00D53D95">
          <w:rPr>
            <w:rStyle w:val="Hyperlink"/>
            <w:rFonts w:ascii="Arial" w:hAnsi="Arial"/>
            <w:i w:val="0"/>
            <w:iCs w:val="0"/>
            <w:noProof/>
            <w:sz w:val="22"/>
            <w:szCs w:val="22"/>
          </w:rPr>
          <w:t>7.</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Publishing</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_Toc172573289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16</w:t>
        </w:r>
        <w:r w:rsidR="00D53D95" w:rsidRPr="00D53D95">
          <w:rPr>
            <w:rFonts w:ascii="Arial" w:hAnsi="Arial"/>
            <w:i w:val="0"/>
            <w:iCs w:val="0"/>
            <w:noProof/>
            <w:webHidden/>
            <w:sz w:val="22"/>
            <w:szCs w:val="22"/>
          </w:rPr>
          <w:fldChar w:fldCharType="end"/>
        </w:r>
      </w:hyperlink>
    </w:p>
    <w:p w14:paraId="6E3A9DFB" w14:textId="253A8E19" w:rsidR="00D53D95" w:rsidRPr="00D53D95" w:rsidRDefault="00000000">
      <w:pPr>
        <w:pStyle w:val="TOC1"/>
        <w:rPr>
          <w:rFonts w:ascii="Arial" w:eastAsiaTheme="minorEastAsia" w:hAnsi="Arial"/>
          <w:i w:val="0"/>
          <w:iCs w:val="0"/>
          <w:noProof/>
          <w:sz w:val="22"/>
          <w:szCs w:val="22"/>
          <w:lang w:eastAsia="en-GB"/>
        </w:rPr>
      </w:pPr>
      <w:hyperlink w:anchor="_Toc172573290" w:history="1">
        <w:r w:rsidR="00D53D95" w:rsidRPr="00D53D95">
          <w:rPr>
            <w:rStyle w:val="Hyperlink"/>
            <w:rFonts w:ascii="Arial" w:hAnsi="Arial"/>
            <w:i w:val="0"/>
            <w:iCs w:val="0"/>
            <w:noProof/>
            <w:sz w:val="22"/>
            <w:szCs w:val="22"/>
          </w:rPr>
          <w:t>8.</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Audiovisual</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_Toc172573290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16</w:t>
        </w:r>
        <w:r w:rsidR="00D53D95" w:rsidRPr="00D53D95">
          <w:rPr>
            <w:rFonts w:ascii="Arial" w:hAnsi="Arial"/>
            <w:i w:val="0"/>
            <w:iCs w:val="0"/>
            <w:noProof/>
            <w:webHidden/>
            <w:sz w:val="22"/>
            <w:szCs w:val="22"/>
          </w:rPr>
          <w:fldChar w:fldCharType="end"/>
        </w:r>
      </w:hyperlink>
    </w:p>
    <w:p w14:paraId="59CB9B39" w14:textId="46E5F11C" w:rsidR="00D53D95" w:rsidRPr="00D53D95" w:rsidRDefault="00000000">
      <w:pPr>
        <w:pStyle w:val="TOC1"/>
        <w:rPr>
          <w:rFonts w:ascii="Arial" w:eastAsiaTheme="minorEastAsia" w:hAnsi="Arial"/>
          <w:i w:val="0"/>
          <w:iCs w:val="0"/>
          <w:noProof/>
          <w:sz w:val="22"/>
          <w:szCs w:val="22"/>
          <w:lang w:eastAsia="en-GB"/>
        </w:rPr>
      </w:pPr>
      <w:hyperlink w:anchor="_Toc172573291" w:history="1">
        <w:r w:rsidR="00D53D95" w:rsidRPr="00D53D95">
          <w:rPr>
            <w:rStyle w:val="Hyperlink"/>
            <w:rFonts w:ascii="Arial" w:hAnsi="Arial"/>
            <w:i w:val="0"/>
            <w:iCs w:val="0"/>
            <w:noProof/>
            <w:sz w:val="22"/>
            <w:szCs w:val="22"/>
          </w:rPr>
          <w:t>9.</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Audio</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_Toc172573291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17</w:t>
        </w:r>
        <w:r w:rsidR="00D53D95" w:rsidRPr="00D53D95">
          <w:rPr>
            <w:rFonts w:ascii="Arial" w:hAnsi="Arial"/>
            <w:i w:val="0"/>
            <w:iCs w:val="0"/>
            <w:noProof/>
            <w:webHidden/>
            <w:sz w:val="22"/>
            <w:szCs w:val="22"/>
          </w:rPr>
          <w:fldChar w:fldCharType="end"/>
        </w:r>
      </w:hyperlink>
    </w:p>
    <w:p w14:paraId="730EBFFB" w14:textId="47B98F03" w:rsidR="00D53D95" w:rsidRPr="00D53D95" w:rsidRDefault="00000000">
      <w:pPr>
        <w:pStyle w:val="TOC1"/>
        <w:rPr>
          <w:rFonts w:ascii="Arial" w:eastAsiaTheme="minorEastAsia" w:hAnsi="Arial"/>
          <w:i w:val="0"/>
          <w:iCs w:val="0"/>
          <w:noProof/>
          <w:sz w:val="22"/>
          <w:szCs w:val="22"/>
          <w:lang w:eastAsia="en-GB"/>
        </w:rPr>
      </w:pPr>
      <w:hyperlink w:anchor="_Toc172573292" w:history="1">
        <w:r w:rsidR="00D53D95" w:rsidRPr="00D53D95">
          <w:rPr>
            <w:rStyle w:val="Hyperlink"/>
            <w:rFonts w:ascii="Arial" w:hAnsi="Arial"/>
            <w:i w:val="0"/>
            <w:iCs w:val="0"/>
            <w:noProof/>
            <w:sz w:val="22"/>
            <w:szCs w:val="22"/>
          </w:rPr>
          <w:t>10.</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Digital Media (online advertising and adtech)</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_Toc172573292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17</w:t>
        </w:r>
        <w:r w:rsidR="00D53D95" w:rsidRPr="00D53D95">
          <w:rPr>
            <w:rFonts w:ascii="Arial" w:hAnsi="Arial"/>
            <w:i w:val="0"/>
            <w:iCs w:val="0"/>
            <w:noProof/>
            <w:webHidden/>
            <w:sz w:val="22"/>
            <w:szCs w:val="22"/>
          </w:rPr>
          <w:fldChar w:fldCharType="end"/>
        </w:r>
      </w:hyperlink>
    </w:p>
    <w:p w14:paraId="17E7FE11" w14:textId="6CE7C918" w:rsidR="00D53D95" w:rsidRPr="00D53D95" w:rsidRDefault="00000000">
      <w:pPr>
        <w:pStyle w:val="TOC1"/>
        <w:rPr>
          <w:rFonts w:ascii="Arial" w:eastAsiaTheme="minorEastAsia" w:hAnsi="Arial"/>
          <w:i w:val="0"/>
          <w:iCs w:val="0"/>
          <w:noProof/>
          <w:sz w:val="22"/>
          <w:szCs w:val="22"/>
          <w:lang w:eastAsia="en-GB"/>
        </w:rPr>
      </w:pPr>
      <w:hyperlink w:anchor="_Toc172573293" w:history="1">
        <w:r w:rsidR="00D53D95" w:rsidRPr="00D53D95">
          <w:rPr>
            <w:rStyle w:val="Hyperlink"/>
            <w:rFonts w:ascii="Arial" w:hAnsi="Arial"/>
            <w:i w:val="0"/>
            <w:iCs w:val="0"/>
            <w:noProof/>
            <w:sz w:val="22"/>
            <w:szCs w:val="22"/>
          </w:rPr>
          <w:t>11.</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Social Media Marketing</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_Toc172573293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18</w:t>
        </w:r>
        <w:r w:rsidR="00D53D95" w:rsidRPr="00D53D95">
          <w:rPr>
            <w:rFonts w:ascii="Arial" w:hAnsi="Arial"/>
            <w:i w:val="0"/>
            <w:iCs w:val="0"/>
            <w:noProof/>
            <w:webHidden/>
            <w:sz w:val="22"/>
            <w:szCs w:val="22"/>
          </w:rPr>
          <w:fldChar w:fldCharType="end"/>
        </w:r>
      </w:hyperlink>
    </w:p>
    <w:p w14:paraId="3A0A8BA5" w14:textId="7919D951" w:rsidR="00D53D95" w:rsidRPr="00D53D95" w:rsidRDefault="00000000">
      <w:pPr>
        <w:pStyle w:val="TOC1"/>
        <w:rPr>
          <w:rFonts w:ascii="Arial" w:eastAsiaTheme="minorEastAsia" w:hAnsi="Arial"/>
          <w:i w:val="0"/>
          <w:iCs w:val="0"/>
          <w:noProof/>
          <w:sz w:val="22"/>
          <w:szCs w:val="22"/>
          <w:lang w:eastAsia="en-GB"/>
        </w:rPr>
      </w:pPr>
      <w:hyperlink w:anchor="_Toc172573294" w:history="1">
        <w:r w:rsidR="00D53D95" w:rsidRPr="00D53D95">
          <w:rPr>
            <w:rStyle w:val="Hyperlink"/>
            <w:rFonts w:ascii="Arial" w:hAnsi="Arial"/>
            <w:i w:val="0"/>
            <w:iCs w:val="0"/>
            <w:noProof/>
            <w:sz w:val="22"/>
            <w:szCs w:val="22"/>
          </w:rPr>
          <w:t>12.</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Outdoor</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_Toc172573294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19</w:t>
        </w:r>
        <w:r w:rsidR="00D53D95" w:rsidRPr="00D53D95">
          <w:rPr>
            <w:rFonts w:ascii="Arial" w:hAnsi="Arial"/>
            <w:i w:val="0"/>
            <w:iCs w:val="0"/>
            <w:noProof/>
            <w:webHidden/>
            <w:sz w:val="22"/>
            <w:szCs w:val="22"/>
          </w:rPr>
          <w:fldChar w:fldCharType="end"/>
        </w:r>
      </w:hyperlink>
    </w:p>
    <w:p w14:paraId="419C1EFE" w14:textId="5F6E99E2" w:rsidR="00D53D95" w:rsidRPr="00D53D95" w:rsidRDefault="00000000">
      <w:pPr>
        <w:pStyle w:val="TOC1"/>
        <w:rPr>
          <w:rFonts w:ascii="Arial" w:eastAsiaTheme="minorEastAsia" w:hAnsi="Arial"/>
          <w:i w:val="0"/>
          <w:iCs w:val="0"/>
          <w:noProof/>
          <w:sz w:val="22"/>
          <w:szCs w:val="22"/>
          <w:lang w:eastAsia="en-GB"/>
        </w:rPr>
      </w:pPr>
      <w:hyperlink w:anchor="_Toc172573295" w:history="1">
        <w:r w:rsidR="00D53D95" w:rsidRPr="00D53D95">
          <w:rPr>
            <w:rStyle w:val="Hyperlink"/>
            <w:rFonts w:ascii="Arial" w:hAnsi="Arial"/>
            <w:i w:val="0"/>
            <w:iCs w:val="0"/>
            <w:noProof/>
            <w:sz w:val="22"/>
            <w:szCs w:val="22"/>
          </w:rPr>
          <w:t>13.</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Experiential</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_Toc172573295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20</w:t>
        </w:r>
        <w:r w:rsidR="00D53D95" w:rsidRPr="00D53D95">
          <w:rPr>
            <w:rFonts w:ascii="Arial" w:hAnsi="Arial"/>
            <w:i w:val="0"/>
            <w:iCs w:val="0"/>
            <w:noProof/>
            <w:webHidden/>
            <w:sz w:val="22"/>
            <w:szCs w:val="22"/>
          </w:rPr>
          <w:fldChar w:fldCharType="end"/>
        </w:r>
      </w:hyperlink>
    </w:p>
    <w:p w14:paraId="1D5DDF40" w14:textId="5D6F16B2" w:rsidR="00D53D95" w:rsidRPr="00D53D95" w:rsidRDefault="00000000">
      <w:pPr>
        <w:pStyle w:val="TOC1"/>
        <w:rPr>
          <w:rFonts w:ascii="Arial" w:eastAsiaTheme="minorEastAsia" w:hAnsi="Arial"/>
          <w:i w:val="0"/>
          <w:iCs w:val="0"/>
          <w:noProof/>
          <w:sz w:val="22"/>
          <w:szCs w:val="22"/>
          <w:lang w:eastAsia="en-GB"/>
        </w:rPr>
      </w:pPr>
      <w:hyperlink w:anchor="_Toc172573296" w:history="1">
        <w:r w:rsidR="00D53D95" w:rsidRPr="00D53D95">
          <w:rPr>
            <w:rStyle w:val="Hyperlink"/>
            <w:rFonts w:ascii="Arial" w:hAnsi="Arial"/>
            <w:i w:val="0"/>
            <w:iCs w:val="0"/>
            <w:noProof/>
            <w:sz w:val="22"/>
            <w:szCs w:val="22"/>
          </w:rPr>
          <w:t>14.</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Other</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_Toc172573296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20</w:t>
        </w:r>
        <w:r w:rsidR="00D53D95" w:rsidRPr="00D53D95">
          <w:rPr>
            <w:rFonts w:ascii="Arial" w:hAnsi="Arial"/>
            <w:i w:val="0"/>
            <w:iCs w:val="0"/>
            <w:noProof/>
            <w:webHidden/>
            <w:sz w:val="22"/>
            <w:szCs w:val="22"/>
          </w:rPr>
          <w:fldChar w:fldCharType="end"/>
        </w:r>
      </w:hyperlink>
    </w:p>
    <w:p w14:paraId="354A6016" w14:textId="6A15886C" w:rsidR="00D53D95" w:rsidRPr="00D53D95" w:rsidRDefault="00000000">
      <w:pPr>
        <w:pStyle w:val="TOC1"/>
        <w:rPr>
          <w:rFonts w:ascii="Arial" w:eastAsiaTheme="minorEastAsia" w:hAnsi="Arial"/>
          <w:i w:val="0"/>
          <w:iCs w:val="0"/>
          <w:noProof/>
          <w:sz w:val="22"/>
          <w:szCs w:val="22"/>
          <w:lang w:eastAsia="en-GB"/>
        </w:rPr>
      </w:pPr>
      <w:hyperlink w:anchor="_Toc172573297" w:history="1">
        <w:r w:rsidR="00D53D95" w:rsidRPr="00D53D95">
          <w:rPr>
            <w:rStyle w:val="Hyperlink"/>
            <w:rFonts w:ascii="Arial" w:hAnsi="Arial"/>
            <w:i w:val="0"/>
            <w:iCs w:val="0"/>
            <w:noProof/>
            <w:sz w:val="22"/>
            <w:szCs w:val="22"/>
          </w:rPr>
          <w:t>15.</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Convergence</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_Toc172573297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20</w:t>
        </w:r>
        <w:r w:rsidR="00D53D95" w:rsidRPr="00D53D95">
          <w:rPr>
            <w:rFonts w:ascii="Arial" w:hAnsi="Arial"/>
            <w:i w:val="0"/>
            <w:iCs w:val="0"/>
            <w:noProof/>
            <w:webHidden/>
            <w:sz w:val="22"/>
            <w:szCs w:val="22"/>
          </w:rPr>
          <w:fldChar w:fldCharType="end"/>
        </w:r>
      </w:hyperlink>
    </w:p>
    <w:p w14:paraId="0154EA90" w14:textId="66C38DC1" w:rsidR="00D53D95" w:rsidRPr="00D53D95" w:rsidRDefault="00000000">
      <w:pPr>
        <w:pStyle w:val="TOC1"/>
        <w:rPr>
          <w:rFonts w:ascii="Arial" w:eastAsiaTheme="minorEastAsia" w:hAnsi="Arial"/>
          <w:i w:val="0"/>
          <w:iCs w:val="0"/>
          <w:noProof/>
          <w:sz w:val="22"/>
          <w:szCs w:val="22"/>
          <w:lang w:eastAsia="en-GB"/>
        </w:rPr>
      </w:pPr>
      <w:hyperlink w:anchor="_Toc172573298" w:history="1">
        <w:r w:rsidR="00D53D95" w:rsidRPr="00D53D95">
          <w:rPr>
            <w:rStyle w:val="Hyperlink"/>
            <w:rFonts w:ascii="Arial" w:hAnsi="Arial"/>
            <w:i w:val="0"/>
            <w:iCs w:val="0"/>
            <w:noProof/>
            <w:sz w:val="22"/>
            <w:szCs w:val="22"/>
          </w:rPr>
          <w:t>16.</w:t>
        </w:r>
        <w:r w:rsidR="00D53D95" w:rsidRPr="00D53D95">
          <w:rPr>
            <w:rFonts w:ascii="Arial" w:eastAsiaTheme="minorEastAsia" w:hAnsi="Arial"/>
            <w:i w:val="0"/>
            <w:iCs w:val="0"/>
            <w:noProof/>
            <w:sz w:val="22"/>
            <w:szCs w:val="22"/>
            <w:lang w:eastAsia="en-GB"/>
          </w:rPr>
          <w:tab/>
        </w:r>
        <w:r w:rsidR="00D53D95" w:rsidRPr="00D53D95">
          <w:rPr>
            <w:rStyle w:val="Hyperlink"/>
            <w:rFonts w:ascii="Arial" w:hAnsi="Arial"/>
            <w:i w:val="0"/>
            <w:iCs w:val="0"/>
            <w:noProof/>
            <w:sz w:val="22"/>
            <w:szCs w:val="22"/>
          </w:rPr>
          <w:t>Analysis and Evaluation</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_Toc172573298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21</w:t>
        </w:r>
        <w:r w:rsidR="00D53D95" w:rsidRPr="00D53D95">
          <w:rPr>
            <w:rFonts w:ascii="Arial" w:hAnsi="Arial"/>
            <w:i w:val="0"/>
            <w:iCs w:val="0"/>
            <w:noProof/>
            <w:webHidden/>
            <w:sz w:val="22"/>
            <w:szCs w:val="22"/>
          </w:rPr>
          <w:fldChar w:fldCharType="end"/>
        </w:r>
      </w:hyperlink>
    </w:p>
    <w:p w14:paraId="31B73D20" w14:textId="2B66E861" w:rsidR="00D53D95" w:rsidRPr="00D53D95" w:rsidRDefault="00000000">
      <w:pPr>
        <w:pStyle w:val="TOC1"/>
        <w:rPr>
          <w:rFonts w:ascii="Arial" w:eastAsiaTheme="minorEastAsia" w:hAnsi="Arial"/>
          <w:i w:val="0"/>
          <w:iCs w:val="0"/>
          <w:noProof/>
          <w:sz w:val="22"/>
          <w:szCs w:val="22"/>
          <w:lang w:eastAsia="en-GB"/>
        </w:rPr>
      </w:pPr>
      <w:hyperlink w:anchor="_Toc172573299" w:history="1">
        <w:r w:rsidR="00D53D95" w:rsidRPr="00D53D95">
          <w:rPr>
            <w:rStyle w:val="Hyperlink"/>
            <w:rFonts w:ascii="Arial" w:hAnsi="Arial"/>
            <w:i w:val="0"/>
            <w:iCs w:val="0"/>
            <w:noProof/>
            <w:sz w:val="22"/>
            <w:szCs w:val="22"/>
          </w:rPr>
          <w:t>Authorship and Acknowledgements</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_Toc172573299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23</w:t>
        </w:r>
        <w:r w:rsidR="00D53D95" w:rsidRPr="00D53D95">
          <w:rPr>
            <w:rFonts w:ascii="Arial" w:hAnsi="Arial"/>
            <w:i w:val="0"/>
            <w:iCs w:val="0"/>
            <w:noProof/>
            <w:webHidden/>
            <w:sz w:val="22"/>
            <w:szCs w:val="22"/>
          </w:rPr>
          <w:fldChar w:fldCharType="end"/>
        </w:r>
      </w:hyperlink>
    </w:p>
    <w:p w14:paraId="5DB0D1E9" w14:textId="25231141" w:rsidR="00D53D95" w:rsidRPr="00D53D95" w:rsidRDefault="00000000">
      <w:pPr>
        <w:pStyle w:val="TOC1"/>
        <w:rPr>
          <w:rFonts w:ascii="Arial" w:eastAsiaTheme="minorEastAsia" w:hAnsi="Arial"/>
          <w:i w:val="0"/>
          <w:iCs w:val="0"/>
          <w:noProof/>
          <w:sz w:val="22"/>
          <w:szCs w:val="22"/>
          <w:lang w:eastAsia="en-GB"/>
        </w:rPr>
      </w:pPr>
      <w:hyperlink w:anchor="_Toc172573300" w:history="1">
        <w:r w:rsidR="00D53D95" w:rsidRPr="00D53D95">
          <w:rPr>
            <w:rStyle w:val="Hyperlink"/>
            <w:rFonts w:ascii="Arial" w:hAnsi="Arial"/>
            <w:i w:val="0"/>
            <w:iCs w:val="0"/>
            <w:noProof/>
            <w:sz w:val="22"/>
            <w:szCs w:val="22"/>
          </w:rPr>
          <w:t>References</w:t>
        </w:r>
        <w:r w:rsidR="00D53D95" w:rsidRPr="00D53D95">
          <w:rPr>
            <w:rFonts w:ascii="Arial" w:hAnsi="Arial"/>
            <w:i w:val="0"/>
            <w:iCs w:val="0"/>
            <w:noProof/>
            <w:webHidden/>
            <w:sz w:val="22"/>
            <w:szCs w:val="22"/>
          </w:rPr>
          <w:tab/>
        </w:r>
        <w:r w:rsidR="00D53D95" w:rsidRPr="00D53D95">
          <w:rPr>
            <w:rFonts w:ascii="Arial" w:hAnsi="Arial"/>
            <w:i w:val="0"/>
            <w:iCs w:val="0"/>
            <w:noProof/>
            <w:webHidden/>
            <w:sz w:val="22"/>
            <w:szCs w:val="22"/>
          </w:rPr>
          <w:fldChar w:fldCharType="begin"/>
        </w:r>
        <w:r w:rsidR="00D53D95" w:rsidRPr="00D53D95">
          <w:rPr>
            <w:rFonts w:ascii="Arial" w:hAnsi="Arial"/>
            <w:i w:val="0"/>
            <w:iCs w:val="0"/>
            <w:noProof/>
            <w:webHidden/>
            <w:sz w:val="22"/>
            <w:szCs w:val="22"/>
          </w:rPr>
          <w:instrText xml:space="preserve"> PAGEREF _Toc172573300 \h </w:instrText>
        </w:r>
        <w:r w:rsidR="00D53D95" w:rsidRPr="00D53D95">
          <w:rPr>
            <w:rFonts w:ascii="Arial" w:hAnsi="Arial"/>
            <w:i w:val="0"/>
            <w:iCs w:val="0"/>
            <w:noProof/>
            <w:webHidden/>
            <w:sz w:val="22"/>
            <w:szCs w:val="22"/>
          </w:rPr>
        </w:r>
        <w:r w:rsidR="00D53D95" w:rsidRPr="00D53D95">
          <w:rPr>
            <w:rFonts w:ascii="Arial" w:hAnsi="Arial"/>
            <w:i w:val="0"/>
            <w:iCs w:val="0"/>
            <w:noProof/>
            <w:webHidden/>
            <w:sz w:val="22"/>
            <w:szCs w:val="22"/>
          </w:rPr>
          <w:fldChar w:fldCharType="separate"/>
        </w:r>
        <w:r w:rsidR="00D53D95" w:rsidRPr="00D53D95">
          <w:rPr>
            <w:rFonts w:ascii="Arial" w:hAnsi="Arial"/>
            <w:i w:val="0"/>
            <w:iCs w:val="0"/>
            <w:noProof/>
            <w:webHidden/>
            <w:sz w:val="22"/>
            <w:szCs w:val="22"/>
          </w:rPr>
          <w:t>24</w:t>
        </w:r>
        <w:r w:rsidR="00D53D95" w:rsidRPr="00D53D95">
          <w:rPr>
            <w:rFonts w:ascii="Arial" w:hAnsi="Arial"/>
            <w:i w:val="0"/>
            <w:iCs w:val="0"/>
            <w:noProof/>
            <w:webHidden/>
            <w:sz w:val="22"/>
            <w:szCs w:val="22"/>
          </w:rPr>
          <w:fldChar w:fldCharType="end"/>
        </w:r>
      </w:hyperlink>
    </w:p>
    <w:p w14:paraId="41CA496E" w14:textId="6E3A069F" w:rsidR="00147453" w:rsidRDefault="00147453" w:rsidP="00D53D95">
      <w:pPr>
        <w:pStyle w:val="SubtitleH2"/>
      </w:pPr>
      <w:r w:rsidRPr="006E4E36">
        <w:fldChar w:fldCharType="end"/>
      </w:r>
    </w:p>
    <w:p w14:paraId="431CF527" w14:textId="571F8707" w:rsidR="00D53D95" w:rsidRDefault="00D53D95" w:rsidP="00D53D95">
      <w:pPr>
        <w:pStyle w:val="SubtitleH2"/>
      </w:pPr>
    </w:p>
    <w:p w14:paraId="6F8BF1AE" w14:textId="77777777" w:rsidR="00D53D95" w:rsidRPr="00D53D95" w:rsidRDefault="00D53D95" w:rsidP="00D53D95">
      <w:pPr>
        <w:pStyle w:val="SubtitleH2"/>
      </w:pPr>
    </w:p>
    <w:p w14:paraId="615F2EBE" w14:textId="79B4040A" w:rsidR="00581055" w:rsidRPr="006E4E36" w:rsidRDefault="00147453" w:rsidP="00147453">
      <w:pPr>
        <w:pStyle w:val="SectionHead"/>
        <w:numPr>
          <w:ilvl w:val="0"/>
          <w:numId w:val="0"/>
        </w:numPr>
        <w:rPr>
          <w:rFonts w:cs="Arial"/>
        </w:rPr>
      </w:pPr>
      <w:bookmarkStart w:id="1" w:name="_Toc169692774"/>
      <w:bookmarkStart w:id="2" w:name="_Toc172573282"/>
      <w:r w:rsidRPr="006E4E36">
        <w:rPr>
          <w:rFonts w:cs="Arial"/>
        </w:rPr>
        <w:lastRenderedPageBreak/>
        <w:t>Introduction</w:t>
      </w:r>
      <w:bookmarkEnd w:id="1"/>
      <w:bookmarkEnd w:id="2"/>
    </w:p>
    <w:p w14:paraId="04BEEB4A" w14:textId="77777777" w:rsidR="00581055" w:rsidRPr="006E4E36" w:rsidRDefault="00581055" w:rsidP="00581055"/>
    <w:p w14:paraId="1B911BE6" w14:textId="0A0BE0E2" w:rsidR="00581055" w:rsidRPr="006E4E36" w:rsidRDefault="00581055" w:rsidP="00581055">
      <w:r w:rsidRPr="006E4E36">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6E4E36" w:rsidRDefault="00581055" w:rsidP="00581055">
      <w:r w:rsidRPr="006E4E36">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65FFBB9F" w14:textId="77777777" w:rsidR="00581055" w:rsidRPr="006E4E36" w:rsidRDefault="00581055" w:rsidP="00581055">
      <w:r w:rsidRPr="006E4E36">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6E4E36" w:rsidRDefault="00581055" w:rsidP="00581055">
      <w:r w:rsidRPr="006E4E36">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520325D9" w14:textId="7AF19584" w:rsidR="00581055" w:rsidRPr="00741251" w:rsidRDefault="00581055" w:rsidP="00581055">
      <w:pPr>
        <w:rPr>
          <w:rFonts w:ascii="Helvetica Neue" w:hAnsi="Helvetica Neue"/>
        </w:rPr>
      </w:pPr>
      <w:r w:rsidRPr="006E4E36">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00FA0742">
        <w:t xml:space="preserve"> </w:t>
      </w:r>
      <w:r w:rsidR="00741251">
        <w:rPr>
          <w:rFonts w:ascii="Helvetica Neue" w:hAnsi="Helvetica Neue"/>
        </w:rPr>
        <w:t xml:space="preserve">This report contains information about laws but nothing in these pages constitutes legal advice. </w:t>
      </w:r>
    </w:p>
    <w:p w14:paraId="5DCFD7D6" w14:textId="77777777" w:rsidR="00581055" w:rsidRPr="006E4E36" w:rsidRDefault="00581055" w:rsidP="00581055">
      <w:r w:rsidRPr="006E4E36">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9" w:history="1">
        <w:r w:rsidRPr="006E4E36">
          <w:rPr>
            <w:rStyle w:val="Hyperlink"/>
          </w:rPr>
          <w:t>BCGproject@arts.ac.uk</w:t>
        </w:r>
      </w:hyperlink>
      <w:r w:rsidRPr="006E4E36">
        <w:t xml:space="preserve">. </w:t>
      </w:r>
    </w:p>
    <w:p w14:paraId="09981D10" w14:textId="77777777" w:rsidR="00581055" w:rsidRPr="006E4E36" w:rsidRDefault="00581055" w:rsidP="00581055"/>
    <w:p w14:paraId="2B9FAD01" w14:textId="77777777" w:rsidR="00581055" w:rsidRPr="006E4E36" w:rsidRDefault="00581055" w:rsidP="00581055">
      <w:pPr>
        <w:rPr>
          <w:rFonts w:eastAsia="Times New Roman"/>
          <w:b/>
          <w:bCs/>
          <w:color w:val="767171"/>
          <w:sz w:val="36"/>
          <w:szCs w:val="36"/>
          <w:shd w:val="clear" w:color="auto" w:fill="FFFFFF"/>
        </w:rPr>
      </w:pPr>
      <w:r w:rsidRPr="006E4E36">
        <w:br w:type="page"/>
      </w:r>
    </w:p>
    <w:p w14:paraId="1474A564" w14:textId="71F2B714" w:rsidR="00FD6CC1" w:rsidRPr="006E4E36" w:rsidRDefault="00FD6CC1" w:rsidP="00FD6CC1">
      <w:pPr>
        <w:pStyle w:val="SubtitleH2"/>
      </w:pPr>
      <w:r w:rsidRPr="006E4E36">
        <w:lastRenderedPageBreak/>
        <w:t>Sections 1-3: Media System</w:t>
      </w:r>
    </w:p>
    <w:p w14:paraId="1C50AA3E" w14:textId="77777777" w:rsidR="005A06EA" w:rsidRPr="006E4E36" w:rsidRDefault="005A06EA" w:rsidP="005A06EA">
      <w:pPr>
        <w:pStyle w:val="SectionHead"/>
        <w:rPr>
          <w:rFonts w:cs="Arial"/>
        </w:rPr>
      </w:pPr>
      <w:bookmarkStart w:id="3" w:name="_Toc172573283"/>
      <w:r w:rsidRPr="006E4E36">
        <w:rPr>
          <w:rFonts w:cs="Arial"/>
        </w:rPr>
        <w:t>Country Data</w:t>
      </w:r>
      <w:bookmarkEnd w:id="3"/>
      <w:r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6E4E36"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6E4E36" w:rsidRDefault="00FE5BD4" w:rsidP="00CB46D4">
            <w:pPr>
              <w:pStyle w:val="Tableheadings"/>
              <w:spacing w:line="240" w:lineRule="auto"/>
              <w:rPr>
                <w:b/>
                <w:bCs/>
              </w:rPr>
            </w:pPr>
            <w:r w:rsidRPr="006E4E36">
              <w:rPr>
                <w:b/>
                <w:bCs/>
              </w:rPr>
              <w:t>Item</w:t>
            </w:r>
          </w:p>
        </w:tc>
        <w:tc>
          <w:tcPr>
            <w:tcW w:w="2126" w:type="dxa"/>
            <w:tcBorders>
              <w:bottom w:val="none" w:sz="0" w:space="0" w:color="auto"/>
            </w:tcBorders>
          </w:tcPr>
          <w:p w14:paraId="40C66F0C" w14:textId="77777777" w:rsidR="00FE5BD4" w:rsidRPr="006E4E36"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179F01BE" w14:textId="77777777" w:rsidR="00FE5BD4" w:rsidRPr="006E4E36"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70" w:type="dxa"/>
            <w:tcBorders>
              <w:bottom w:val="none" w:sz="0" w:space="0" w:color="auto"/>
            </w:tcBorders>
          </w:tcPr>
          <w:p w14:paraId="4A129C75" w14:textId="77777777" w:rsidR="00FE5BD4" w:rsidRPr="006E4E36"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FE5BD4" w:rsidRPr="006E4E36"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6E4E36" w:rsidRDefault="005A06EA" w:rsidP="00CB46D4">
            <w:pPr>
              <w:rPr>
                <w:b w:val="0"/>
                <w:bCs w:val="0"/>
                <w:color w:val="747474" w:themeColor="background2" w:themeShade="80"/>
              </w:rPr>
            </w:pPr>
            <w:r w:rsidRPr="006E4E36">
              <w:rPr>
                <w:color w:val="747474" w:themeColor="background2" w:themeShade="80"/>
              </w:rPr>
              <w:t>1</w:t>
            </w:r>
            <w:r w:rsidR="00FE5BD4" w:rsidRPr="006E4E36">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6E4E36"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6E4E36">
              <w:t>Geographical Area</w:t>
            </w:r>
          </w:p>
        </w:tc>
        <w:tc>
          <w:tcPr>
            <w:tcW w:w="2127" w:type="dxa"/>
            <w:tcBorders>
              <w:top w:val="none" w:sz="0" w:space="0" w:color="auto"/>
              <w:bottom w:val="none" w:sz="0" w:space="0" w:color="auto"/>
            </w:tcBorders>
          </w:tcPr>
          <w:p w14:paraId="0BBDE88F" w14:textId="6871160C" w:rsidR="00FD6ABF" w:rsidRPr="006E4E36" w:rsidRDefault="00E429CD"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6E4E36">
              <w:rPr>
                <w:rStyle w:val="normaltextrun"/>
                <w:rFonts w:eastAsiaTheme="majorEastAsia"/>
                <w:color w:val="000000"/>
                <w:shd w:val="clear" w:color="auto" w:fill="FFFFFF"/>
              </w:rPr>
              <w:t>9,984,670 square km (</w:t>
            </w:r>
            <w:hyperlink r:id="rId10" w:tgtFrame="_blank" w:history="1">
              <w:r w:rsidRPr="006E4E36">
                <w:rPr>
                  <w:rStyle w:val="normaltextrun"/>
                  <w:rFonts w:eastAsiaTheme="majorEastAsia"/>
                  <w:color w:val="0563C1"/>
                  <w:u w:val="single"/>
                  <w:shd w:val="clear" w:color="auto" w:fill="FFFFFF"/>
                </w:rPr>
                <w:t>CIA 2023</w:t>
              </w:r>
            </w:hyperlink>
            <w:r w:rsidRPr="006E4E36">
              <w:rPr>
                <w:rStyle w:val="normaltextrun"/>
                <w:rFonts w:eastAsiaTheme="majorEastAsia"/>
                <w:color w:val="000000"/>
                <w:shd w:val="clear" w:color="auto" w:fill="FFFFFF"/>
              </w:rPr>
              <w:t>)</w:t>
            </w:r>
            <w:r w:rsidRPr="006E4E3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6E4E36"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6E4E36"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6E4E36" w:rsidRDefault="005A06EA" w:rsidP="00CB46D4">
            <w:pPr>
              <w:rPr>
                <w:color w:val="3A3A3A" w:themeColor="background2" w:themeShade="40"/>
              </w:rPr>
            </w:pPr>
            <w:r w:rsidRPr="006E4E36">
              <w:rPr>
                <w:color w:val="747474" w:themeColor="background2" w:themeShade="80"/>
              </w:rPr>
              <w:t>1</w:t>
            </w:r>
            <w:r w:rsidR="00FE5BD4" w:rsidRPr="006E4E36">
              <w:rPr>
                <w:color w:val="747474" w:themeColor="background2" w:themeShade="80"/>
              </w:rPr>
              <w:t>.2</w:t>
            </w:r>
          </w:p>
        </w:tc>
        <w:tc>
          <w:tcPr>
            <w:tcW w:w="2126" w:type="dxa"/>
          </w:tcPr>
          <w:p w14:paraId="090658C7" w14:textId="066EEB61" w:rsidR="00FE5BD4" w:rsidRPr="006E4E36"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6E4E36">
              <w:t>Population</w:t>
            </w:r>
          </w:p>
        </w:tc>
        <w:tc>
          <w:tcPr>
            <w:tcW w:w="2127" w:type="dxa"/>
          </w:tcPr>
          <w:p w14:paraId="53888C74" w14:textId="0882E262" w:rsidR="00FE5BD4" w:rsidRPr="006E4E36" w:rsidRDefault="00E429CD"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6E4E36">
              <w:rPr>
                <w:rStyle w:val="normaltextrun"/>
                <w:rFonts w:eastAsiaTheme="majorEastAsia"/>
                <w:color w:val="000000"/>
                <w:shd w:val="clear" w:color="auto" w:fill="FFFFFF"/>
              </w:rPr>
              <w:t>38,232,593 (2022 est.) (</w:t>
            </w:r>
            <w:hyperlink r:id="rId11" w:tgtFrame="_blank" w:history="1">
              <w:r w:rsidRPr="006E4E36">
                <w:rPr>
                  <w:rStyle w:val="normaltextrun"/>
                  <w:rFonts w:eastAsiaTheme="majorEastAsia"/>
                  <w:color w:val="0563C1"/>
                  <w:u w:val="single"/>
                  <w:shd w:val="clear" w:color="auto" w:fill="FFFFFF"/>
                </w:rPr>
                <w:t>CIA 2023</w:t>
              </w:r>
            </w:hyperlink>
            <w:r w:rsidRPr="006E4E36">
              <w:rPr>
                <w:rStyle w:val="normaltextrun"/>
                <w:rFonts w:eastAsiaTheme="majorEastAsia"/>
                <w:color w:val="000000"/>
                <w:shd w:val="clear" w:color="auto" w:fill="FFFFFF"/>
              </w:rPr>
              <w:t>)</w:t>
            </w:r>
            <w:r w:rsidRPr="006E4E36">
              <w:rPr>
                <w:rStyle w:val="eop"/>
                <w:rFonts w:eastAsiaTheme="majorEastAsia"/>
                <w:color w:val="000000"/>
                <w:shd w:val="clear" w:color="auto" w:fill="FFFFFF"/>
              </w:rPr>
              <w:t> </w:t>
            </w:r>
          </w:p>
        </w:tc>
        <w:tc>
          <w:tcPr>
            <w:tcW w:w="5670" w:type="dxa"/>
          </w:tcPr>
          <w:p w14:paraId="388126E4" w14:textId="77777777" w:rsidR="00FE5BD4" w:rsidRPr="006E4E36"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6E4E36"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6E4E36" w:rsidRDefault="005A06EA" w:rsidP="00CB46D4">
            <w:pPr>
              <w:rPr>
                <w:color w:val="747474" w:themeColor="background2" w:themeShade="80"/>
              </w:rPr>
            </w:pPr>
            <w:r w:rsidRPr="006E4E36">
              <w:rPr>
                <w:color w:val="747474" w:themeColor="background2" w:themeShade="80"/>
              </w:rPr>
              <w:t>1</w:t>
            </w:r>
            <w:r w:rsidR="00FE5BD4" w:rsidRPr="006E4E36">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6E4E36"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6E4E36">
              <w:t>High/low income</w:t>
            </w:r>
          </w:p>
        </w:tc>
        <w:tc>
          <w:tcPr>
            <w:tcW w:w="2127" w:type="dxa"/>
            <w:tcBorders>
              <w:top w:val="none" w:sz="0" w:space="0" w:color="auto"/>
              <w:bottom w:val="none" w:sz="0" w:space="0" w:color="auto"/>
            </w:tcBorders>
          </w:tcPr>
          <w:p w14:paraId="5E464A0B" w14:textId="433E6C82" w:rsidR="00FE5BD4" w:rsidRPr="006E4E36" w:rsidRDefault="00E429CD"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6E4E36">
              <w:rPr>
                <w:rStyle w:val="normaltextrun"/>
                <w:rFonts w:eastAsiaTheme="majorEastAsia"/>
                <w:color w:val="000000"/>
                <w:shd w:val="clear" w:color="auto" w:fill="FFFFFF"/>
              </w:rPr>
              <w:t>High income (</w:t>
            </w:r>
            <w:hyperlink r:id="rId12" w:tgtFrame="_blank" w:history="1">
              <w:r w:rsidRPr="006E4E36">
                <w:rPr>
                  <w:rStyle w:val="normaltextrun"/>
                  <w:rFonts w:eastAsiaTheme="majorEastAsia"/>
                  <w:color w:val="0563C1"/>
                  <w:u w:val="single"/>
                  <w:shd w:val="clear" w:color="auto" w:fill="FFFFFF"/>
                </w:rPr>
                <w:t>The World Bank Data 2023</w:t>
              </w:r>
            </w:hyperlink>
            <w:r w:rsidRPr="006E4E36">
              <w:rPr>
                <w:rStyle w:val="normaltextrun"/>
                <w:rFonts w:eastAsiaTheme="majorEastAsia"/>
                <w:color w:val="000000"/>
                <w:shd w:val="clear" w:color="auto" w:fill="FFFFFF"/>
              </w:rPr>
              <w:t>)</w:t>
            </w:r>
            <w:r w:rsidRPr="006E4E3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6E4E36"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6E4E36"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6E4E36" w:rsidRDefault="00A521A0" w:rsidP="00CB46D4">
            <w:pPr>
              <w:rPr>
                <w:color w:val="747474" w:themeColor="background2" w:themeShade="80"/>
              </w:rPr>
            </w:pPr>
            <w:r w:rsidRPr="006E4E36">
              <w:rPr>
                <w:color w:val="747474" w:themeColor="background2" w:themeShade="80"/>
              </w:rPr>
              <w:t>1.4</w:t>
            </w:r>
          </w:p>
        </w:tc>
        <w:tc>
          <w:tcPr>
            <w:tcW w:w="2126" w:type="dxa"/>
          </w:tcPr>
          <w:p w14:paraId="0EF0430D" w14:textId="714DF506" w:rsidR="00A521A0" w:rsidRPr="006E4E36"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6E4E36">
              <w:t xml:space="preserve">Real GDP </w:t>
            </w:r>
            <w:r w:rsidRPr="006E4E36">
              <w:br/>
              <w:t>per capita</w:t>
            </w:r>
          </w:p>
        </w:tc>
        <w:tc>
          <w:tcPr>
            <w:tcW w:w="2127" w:type="dxa"/>
          </w:tcPr>
          <w:p w14:paraId="324904D8" w14:textId="383C709A" w:rsidR="00A521A0" w:rsidRPr="006E4E36" w:rsidRDefault="00E429C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6E4E36">
              <w:rPr>
                <w:rStyle w:val="normaltextrun"/>
                <w:rFonts w:eastAsiaTheme="majorEastAsia"/>
                <w:color w:val="000000"/>
                <w:shd w:val="clear" w:color="auto" w:fill="FFFFFF"/>
              </w:rPr>
              <w:t>$47,900 (2021 est.) (</w:t>
            </w:r>
            <w:hyperlink r:id="rId13" w:tgtFrame="_blank" w:history="1">
              <w:r w:rsidRPr="006E4E36">
                <w:rPr>
                  <w:rStyle w:val="normaltextrun"/>
                  <w:rFonts w:eastAsiaTheme="majorEastAsia"/>
                  <w:color w:val="0563C1"/>
                  <w:u w:val="single"/>
                  <w:shd w:val="clear" w:color="auto" w:fill="FFFFFF"/>
                </w:rPr>
                <w:t>CIA 2023</w:t>
              </w:r>
            </w:hyperlink>
            <w:r w:rsidRPr="006E4E36">
              <w:rPr>
                <w:rStyle w:val="normaltextrun"/>
                <w:rFonts w:eastAsiaTheme="majorEastAsia"/>
                <w:color w:val="000000"/>
                <w:shd w:val="clear" w:color="auto" w:fill="FFFFFF"/>
              </w:rPr>
              <w:t>)</w:t>
            </w:r>
            <w:r w:rsidRPr="006E4E36">
              <w:rPr>
                <w:rStyle w:val="eop"/>
                <w:rFonts w:eastAsiaTheme="majorEastAsia"/>
                <w:color w:val="000000"/>
                <w:shd w:val="clear" w:color="auto" w:fill="FFFFFF"/>
              </w:rPr>
              <w:t> </w:t>
            </w:r>
          </w:p>
        </w:tc>
        <w:tc>
          <w:tcPr>
            <w:tcW w:w="5670" w:type="dxa"/>
          </w:tcPr>
          <w:p w14:paraId="364B9202" w14:textId="77777777" w:rsidR="00A521A0" w:rsidRPr="006E4E36"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6E4E36"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6E4E36" w:rsidRDefault="00A521A0" w:rsidP="00CB46D4">
            <w:pPr>
              <w:rPr>
                <w:color w:val="747474" w:themeColor="background2" w:themeShade="80"/>
              </w:rPr>
            </w:pPr>
            <w:r w:rsidRPr="006E4E36">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6E4E36"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6E4E36">
              <w:t>Languages (official)</w:t>
            </w:r>
          </w:p>
        </w:tc>
        <w:tc>
          <w:tcPr>
            <w:tcW w:w="2127" w:type="dxa"/>
            <w:tcBorders>
              <w:top w:val="none" w:sz="0" w:space="0" w:color="auto"/>
              <w:bottom w:val="none" w:sz="0" w:space="0" w:color="auto"/>
            </w:tcBorders>
          </w:tcPr>
          <w:p w14:paraId="694879AD" w14:textId="1BB2C225" w:rsidR="00A521A0" w:rsidRPr="006E4E36" w:rsidRDefault="00E429CD"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6E4E36">
              <w:rPr>
                <w:rStyle w:val="normaltextrun"/>
                <w:rFonts w:eastAsiaTheme="majorEastAsia"/>
                <w:color w:val="000000"/>
                <w:shd w:val="clear" w:color="auto" w:fill="FFFFFF"/>
              </w:rPr>
              <w:t>English (official) 58.7%, French (official) 22%, Punjabi 1.4%, Italian 1.3%, Spanish 1.3%, German 1.3%, Cantonese 1.2%, Tagalog 1.2%, Arabic 1.1%, other 10.5% (2011 est.) (</w:t>
            </w:r>
            <w:hyperlink r:id="rId14" w:tgtFrame="_blank" w:history="1">
              <w:r w:rsidRPr="006E4E36">
                <w:rPr>
                  <w:rStyle w:val="normaltextrun"/>
                  <w:rFonts w:eastAsiaTheme="majorEastAsia"/>
                  <w:color w:val="0563C1"/>
                  <w:u w:val="single"/>
                  <w:shd w:val="clear" w:color="auto" w:fill="FFFFFF"/>
                </w:rPr>
                <w:t>CIA 2023</w:t>
              </w:r>
            </w:hyperlink>
            <w:r w:rsidRPr="006E4E36">
              <w:rPr>
                <w:rStyle w:val="normaltextrun"/>
                <w:rFonts w:eastAsiaTheme="majorEastAsia"/>
                <w:color w:val="000000"/>
                <w:shd w:val="clear" w:color="auto" w:fill="FFFFFF"/>
              </w:rPr>
              <w:t>)</w:t>
            </w:r>
            <w:r w:rsidRPr="006E4E3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77777777" w:rsidR="00A521A0" w:rsidRPr="006E4E36"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6E4E36"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6E4E36" w:rsidRDefault="00A521A0" w:rsidP="00CB46D4">
            <w:pPr>
              <w:rPr>
                <w:color w:val="747474" w:themeColor="background2" w:themeShade="80"/>
              </w:rPr>
            </w:pPr>
            <w:r w:rsidRPr="006E4E36">
              <w:rPr>
                <w:color w:val="747474" w:themeColor="background2" w:themeShade="80"/>
              </w:rPr>
              <w:t>1.6</w:t>
            </w:r>
          </w:p>
        </w:tc>
        <w:tc>
          <w:tcPr>
            <w:tcW w:w="2126" w:type="dxa"/>
          </w:tcPr>
          <w:p w14:paraId="7E1CB711" w14:textId="6B3DCD93" w:rsidR="00A521A0" w:rsidRPr="006E4E36"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6E4E36">
              <w:t>Government type</w:t>
            </w:r>
          </w:p>
        </w:tc>
        <w:tc>
          <w:tcPr>
            <w:tcW w:w="2127" w:type="dxa"/>
          </w:tcPr>
          <w:p w14:paraId="2EA80462" w14:textId="77777777" w:rsidR="00A521A0" w:rsidRPr="006E4E36"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2AB71F4A" w:rsidR="00A521A0" w:rsidRPr="006E4E36" w:rsidRDefault="00E429CD" w:rsidP="00CB46D4">
            <w:pPr>
              <w:cnfStyle w:val="000000000000" w:firstRow="0" w:lastRow="0" w:firstColumn="0" w:lastColumn="0" w:oddVBand="0" w:evenVBand="0" w:oddHBand="0" w:evenHBand="0" w:firstRowFirstColumn="0" w:firstRowLastColumn="0" w:lastRowFirstColumn="0" w:lastRowLastColumn="0"/>
            </w:pPr>
            <w:r w:rsidRPr="006E4E36">
              <w:rPr>
                <w:rStyle w:val="normaltextrun"/>
                <w:color w:val="000000"/>
                <w:shd w:val="clear" w:color="auto" w:fill="FFFFFF"/>
              </w:rPr>
              <w:t>Federal parliamentary democracy (Parliament of Canada) under a constitutional monarchy; a Commonwealth realm; federal and state authorities and responsibilities regulated in constitution (</w:t>
            </w:r>
            <w:hyperlink r:id="rId15" w:tgtFrame="_blank" w:history="1">
              <w:r w:rsidRPr="006E4E36">
                <w:rPr>
                  <w:rStyle w:val="normaltextrun"/>
                  <w:color w:val="0563C1"/>
                  <w:u w:val="single"/>
                  <w:shd w:val="clear" w:color="auto" w:fill="FFFFFF"/>
                </w:rPr>
                <w:t>CIA 2023</w:t>
              </w:r>
            </w:hyperlink>
            <w:r w:rsidRPr="006E4E36">
              <w:rPr>
                <w:rStyle w:val="normaltextrun"/>
                <w:color w:val="000000"/>
                <w:shd w:val="clear" w:color="auto" w:fill="FFFFFF"/>
              </w:rPr>
              <w:t>)</w:t>
            </w:r>
            <w:r w:rsidRPr="006E4E36">
              <w:rPr>
                <w:rStyle w:val="eop"/>
                <w:color w:val="000000"/>
                <w:shd w:val="clear" w:color="auto" w:fill="FFFFFF"/>
              </w:rPr>
              <w:t> </w:t>
            </w:r>
          </w:p>
        </w:tc>
      </w:tr>
      <w:tr w:rsidR="00A521A0" w:rsidRPr="006E4E36"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6E4E36" w:rsidRDefault="00A521A0" w:rsidP="00CB46D4">
            <w:pPr>
              <w:rPr>
                <w:color w:val="747474" w:themeColor="background2" w:themeShade="80"/>
              </w:rPr>
            </w:pPr>
            <w:r w:rsidRPr="006E4E36">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6E4E36"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6E4E36">
              <w:t>Legal system</w:t>
            </w:r>
          </w:p>
        </w:tc>
        <w:tc>
          <w:tcPr>
            <w:tcW w:w="2127" w:type="dxa"/>
            <w:tcBorders>
              <w:top w:val="none" w:sz="0" w:space="0" w:color="auto"/>
              <w:bottom w:val="none" w:sz="0" w:space="0" w:color="auto"/>
            </w:tcBorders>
          </w:tcPr>
          <w:p w14:paraId="2C773CB3" w14:textId="77777777" w:rsidR="00A521A0" w:rsidRPr="006E4E36"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3610CECB" w:rsidR="00A521A0" w:rsidRPr="006E4E36" w:rsidRDefault="00E429CD" w:rsidP="00CB46D4">
            <w:pPr>
              <w:cnfStyle w:val="000000100000" w:firstRow="0" w:lastRow="0" w:firstColumn="0" w:lastColumn="0" w:oddVBand="0" w:evenVBand="0" w:oddHBand="1" w:evenHBand="0" w:firstRowFirstColumn="0" w:firstRowLastColumn="0" w:lastRowFirstColumn="0" w:lastRowLastColumn="0"/>
            </w:pPr>
            <w:r w:rsidRPr="006E4E36">
              <w:rPr>
                <w:rStyle w:val="normaltextrun"/>
                <w:color w:val="000000"/>
                <w:shd w:val="clear" w:color="auto" w:fill="FFFFFF"/>
              </w:rPr>
              <w:t>Common law system except in Quebec, where civil law based on the French civil code prevails (</w:t>
            </w:r>
            <w:hyperlink r:id="rId16" w:tgtFrame="_blank" w:history="1">
              <w:r w:rsidRPr="006E4E36">
                <w:rPr>
                  <w:rStyle w:val="normaltextrun"/>
                  <w:color w:val="0563C1"/>
                  <w:u w:val="single"/>
                  <w:shd w:val="clear" w:color="auto" w:fill="FFFFFF"/>
                </w:rPr>
                <w:t>CIA 2023</w:t>
              </w:r>
            </w:hyperlink>
            <w:r w:rsidRPr="006E4E36">
              <w:rPr>
                <w:rStyle w:val="normaltextrun"/>
                <w:color w:val="000000"/>
                <w:shd w:val="clear" w:color="auto" w:fill="FFFFFF"/>
              </w:rPr>
              <w:t>)</w:t>
            </w:r>
            <w:r w:rsidRPr="006E4E36">
              <w:rPr>
                <w:rStyle w:val="eop"/>
                <w:color w:val="000000"/>
                <w:shd w:val="clear" w:color="auto" w:fill="FFFFFF"/>
              </w:rPr>
              <w:t> </w:t>
            </w:r>
          </w:p>
        </w:tc>
      </w:tr>
      <w:tr w:rsidR="00A521A0" w:rsidRPr="006E4E36" w14:paraId="7E214069" w14:textId="77777777" w:rsidTr="00A1476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6E4E36" w:rsidRDefault="00A521A0" w:rsidP="00CB46D4">
            <w:pPr>
              <w:rPr>
                <w:color w:val="747474" w:themeColor="background2" w:themeShade="80"/>
              </w:rPr>
            </w:pPr>
            <w:r w:rsidRPr="006E4E36">
              <w:rPr>
                <w:color w:val="747474" w:themeColor="background2" w:themeShade="80"/>
              </w:rPr>
              <w:t>1.8</w:t>
            </w:r>
          </w:p>
        </w:tc>
        <w:tc>
          <w:tcPr>
            <w:tcW w:w="2126" w:type="dxa"/>
          </w:tcPr>
          <w:p w14:paraId="40E1C827" w14:textId="31714C34" w:rsidR="00A521A0" w:rsidRPr="006E4E36"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6E4E36">
              <w:t>Internet users</w:t>
            </w:r>
            <w:r w:rsidRPr="006E4E36">
              <w:br/>
              <w:t>(% of pop)</w:t>
            </w:r>
          </w:p>
        </w:tc>
        <w:tc>
          <w:tcPr>
            <w:tcW w:w="2127" w:type="dxa"/>
            <w:shd w:val="clear" w:color="auto" w:fill="auto"/>
          </w:tcPr>
          <w:p w14:paraId="30C858A9" w14:textId="77777777" w:rsidR="00A521A0" w:rsidRPr="006E4E36"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rPr>
                <w:highlight w:val="darkBlue"/>
              </w:rPr>
            </w:pPr>
          </w:p>
        </w:tc>
        <w:tc>
          <w:tcPr>
            <w:tcW w:w="5670" w:type="dxa"/>
            <w:shd w:val="clear" w:color="auto" w:fill="auto"/>
          </w:tcPr>
          <w:p w14:paraId="10FE12BB" w14:textId="4E00057D" w:rsidR="00A521A0" w:rsidRPr="006E4E36" w:rsidRDefault="00A1476A" w:rsidP="00CB46D4">
            <w:pPr>
              <w:cnfStyle w:val="000000000000" w:firstRow="0" w:lastRow="0" w:firstColumn="0" w:lastColumn="0" w:oddVBand="0" w:evenVBand="0" w:oddHBand="0" w:evenHBand="0" w:firstRowFirstColumn="0" w:firstRowLastColumn="0" w:lastRowFirstColumn="0" w:lastRowLastColumn="0"/>
              <w:rPr>
                <w:highlight w:val="darkBlue"/>
              </w:rPr>
            </w:pPr>
            <w:r w:rsidRPr="006E4E36">
              <w:t>97% (2020 est.) (</w:t>
            </w:r>
            <w:hyperlink r:id="rId17" w:history="1">
              <w:r w:rsidRPr="006E4E36">
                <w:rPr>
                  <w:rStyle w:val="Hyperlink"/>
                </w:rPr>
                <w:t>CIA 2023</w:t>
              </w:r>
            </w:hyperlink>
            <w:r w:rsidRPr="006E4E36">
              <w:t>). Statistics Canada’s most recent data puts the figure at 94% of households having fixed broadband subscription as of 2020 (</w:t>
            </w:r>
            <w:hyperlink r:id="rId18" w:history="1">
              <w:r w:rsidRPr="006E4E36">
                <w:rPr>
                  <w:rStyle w:val="Hyperlink"/>
                </w:rPr>
                <w:t>Statistics Canada 2021</w:t>
              </w:r>
            </w:hyperlink>
            <w:r w:rsidRPr="006E4E36">
              <w:t xml:space="preserve">). </w:t>
            </w:r>
          </w:p>
        </w:tc>
      </w:tr>
      <w:tr w:rsidR="00747689" w:rsidRPr="006E4E36"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6E4E36" w:rsidRDefault="00747689" w:rsidP="00CB46D4">
            <w:pPr>
              <w:rPr>
                <w:color w:val="747474" w:themeColor="background2" w:themeShade="80"/>
              </w:rPr>
            </w:pPr>
            <w:r w:rsidRPr="006E4E36">
              <w:rPr>
                <w:color w:val="747474" w:themeColor="background2" w:themeShade="80"/>
              </w:rPr>
              <w:t>1.9</w:t>
            </w:r>
          </w:p>
        </w:tc>
        <w:tc>
          <w:tcPr>
            <w:tcW w:w="2126" w:type="dxa"/>
          </w:tcPr>
          <w:p w14:paraId="41FF2173" w14:textId="2327C125" w:rsidR="00747689" w:rsidRPr="006E4E36"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6E4E36">
              <w:t xml:space="preserve">Media </w:t>
            </w:r>
            <w:r w:rsidR="00747689" w:rsidRPr="006E4E36">
              <w:t>Freedom Ranking</w:t>
            </w:r>
          </w:p>
        </w:tc>
        <w:tc>
          <w:tcPr>
            <w:tcW w:w="2127" w:type="dxa"/>
          </w:tcPr>
          <w:p w14:paraId="73B2FE62" w14:textId="25F2C897" w:rsidR="00747689" w:rsidRPr="006E4E36" w:rsidRDefault="00EB104E"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6E4E36">
              <w:t>Satisfactory</w:t>
            </w:r>
          </w:p>
        </w:tc>
        <w:tc>
          <w:tcPr>
            <w:tcW w:w="5670" w:type="dxa"/>
          </w:tcPr>
          <w:p w14:paraId="34D5EBFD" w14:textId="1F22B89A" w:rsidR="00747689" w:rsidRPr="006E4E36" w:rsidRDefault="00EB104E" w:rsidP="00CB46D4">
            <w:pPr>
              <w:cnfStyle w:val="000000100000" w:firstRow="0" w:lastRow="0" w:firstColumn="0" w:lastColumn="0" w:oddVBand="0" w:evenVBand="0" w:oddHBand="1" w:evenHBand="0" w:firstRowFirstColumn="0" w:firstRowLastColumn="0" w:lastRowFirstColumn="0" w:lastRowLastColumn="0"/>
            </w:pPr>
            <w:r w:rsidRPr="006E4E36">
              <w:t>RSF 2023: 15</w:t>
            </w:r>
          </w:p>
        </w:tc>
      </w:tr>
    </w:tbl>
    <w:p w14:paraId="7C1291AD" w14:textId="56BDDC37" w:rsidR="00D25F75" w:rsidRPr="006E4E36" w:rsidRDefault="00AE3D31" w:rsidP="00B653BC">
      <w:pPr>
        <w:pStyle w:val="SectionHead"/>
        <w:rPr>
          <w:rFonts w:cs="Arial"/>
        </w:rPr>
      </w:pPr>
      <w:bookmarkStart w:id="4" w:name="_Toc172573284"/>
      <w:r w:rsidRPr="006E4E36">
        <w:rPr>
          <w:rFonts w:cs="Arial"/>
        </w:rPr>
        <w:lastRenderedPageBreak/>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6E4E36"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6E4E36" w:rsidRDefault="00786213" w:rsidP="00CB46D4">
            <w:pPr>
              <w:pStyle w:val="Tableheadings"/>
              <w:spacing w:line="240" w:lineRule="auto"/>
              <w:rPr>
                <w:b/>
                <w:bCs/>
              </w:rPr>
            </w:pPr>
            <w:r w:rsidRPr="006E4E36">
              <w:rPr>
                <w:b/>
                <w:bCs/>
              </w:rPr>
              <w:t>Item</w:t>
            </w:r>
          </w:p>
        </w:tc>
        <w:tc>
          <w:tcPr>
            <w:tcW w:w="2126" w:type="dxa"/>
            <w:tcBorders>
              <w:bottom w:val="none" w:sz="0" w:space="0" w:color="auto"/>
            </w:tcBorders>
          </w:tcPr>
          <w:p w14:paraId="0B466FD1" w14:textId="77777777" w:rsidR="00786213" w:rsidRPr="006E4E3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283C654A" w14:textId="77777777" w:rsidR="00786213" w:rsidRPr="006E4E3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70" w:type="dxa"/>
            <w:tcBorders>
              <w:bottom w:val="none" w:sz="0" w:space="0" w:color="auto"/>
            </w:tcBorders>
          </w:tcPr>
          <w:p w14:paraId="3006A2D9" w14:textId="77777777" w:rsidR="00786213" w:rsidRPr="006E4E36"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786213" w:rsidRPr="006E4E36"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6E4E36" w:rsidRDefault="0081774C" w:rsidP="00CB46D4">
            <w:pPr>
              <w:rPr>
                <w:b w:val="0"/>
                <w:bCs w:val="0"/>
                <w:color w:val="747474" w:themeColor="background2" w:themeShade="80"/>
              </w:rPr>
            </w:pPr>
            <w:r w:rsidRPr="006E4E36">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6E4E36"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Media system classification</w:t>
            </w:r>
          </w:p>
        </w:tc>
        <w:tc>
          <w:tcPr>
            <w:tcW w:w="2127" w:type="dxa"/>
            <w:tcBorders>
              <w:top w:val="none" w:sz="0" w:space="0" w:color="auto"/>
              <w:bottom w:val="none" w:sz="0" w:space="0" w:color="auto"/>
            </w:tcBorders>
          </w:tcPr>
          <w:p w14:paraId="4FDC6444" w14:textId="3ACD26CE" w:rsidR="00786213" w:rsidRPr="006E4E36" w:rsidRDefault="00EB104E" w:rsidP="00CB46D4">
            <w:pPr>
              <w:pStyle w:val="Classificationcolumntext"/>
              <w:cnfStyle w:val="000000100000" w:firstRow="0" w:lastRow="0" w:firstColumn="0" w:lastColumn="0" w:oddVBand="0" w:evenVBand="0" w:oddHBand="1" w:evenHBand="0" w:firstRowFirstColumn="0" w:firstRowLastColumn="0" w:lastRowFirstColumn="0" w:lastRowLastColumn="0"/>
            </w:pPr>
            <w:r w:rsidRPr="006E4E36">
              <w:rPr>
                <w:rStyle w:val="normaltextrun"/>
                <w:rFonts w:eastAsiaTheme="majorEastAsia"/>
                <w:color w:val="000000"/>
                <w:shd w:val="clear" w:color="auto" w:fill="FFFFFF"/>
              </w:rPr>
              <w:t>North Atlantic or Liberal Model (Hallin and Mancini 2004).  </w:t>
            </w:r>
            <w:r w:rsidRPr="006E4E36">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54FF74DF" w14:textId="364DF07C" w:rsidR="00786213" w:rsidRPr="006E4E36"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6E4E36"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6E4E36" w:rsidRDefault="0081774C" w:rsidP="00CB46D4">
            <w:pPr>
              <w:rPr>
                <w:color w:val="3A3A3A" w:themeColor="background2" w:themeShade="40"/>
              </w:rPr>
            </w:pPr>
            <w:r w:rsidRPr="006E4E36">
              <w:rPr>
                <w:color w:val="747474" w:themeColor="background2" w:themeShade="80"/>
              </w:rPr>
              <w:t>2.2</w:t>
            </w:r>
          </w:p>
        </w:tc>
        <w:tc>
          <w:tcPr>
            <w:tcW w:w="2126" w:type="dxa"/>
          </w:tcPr>
          <w:p w14:paraId="486D08BD" w14:textId="19459C6C" w:rsidR="00786213" w:rsidRPr="006E4E36"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Role of State (type)</w:t>
            </w:r>
          </w:p>
        </w:tc>
        <w:tc>
          <w:tcPr>
            <w:tcW w:w="2127" w:type="dxa"/>
          </w:tcPr>
          <w:p w14:paraId="19F51F24" w14:textId="509220C5" w:rsidR="00786213" w:rsidRPr="006E4E3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7BA2F141" w:rsidR="00786213" w:rsidRPr="006E4E36" w:rsidRDefault="00EB104E" w:rsidP="00CB46D4">
            <w:pPr>
              <w:cnfStyle w:val="000000000000" w:firstRow="0" w:lastRow="0" w:firstColumn="0" w:lastColumn="0" w:oddVBand="0" w:evenVBand="0" w:oddHBand="0" w:evenHBand="0" w:firstRowFirstColumn="0" w:firstRowLastColumn="0" w:lastRowFirstColumn="0" w:lastRowLastColumn="0"/>
            </w:pPr>
            <w:r w:rsidRPr="006E4E36">
              <w:rPr>
                <w:rStyle w:val="normaltextrun"/>
                <w:color w:val="000000"/>
                <w:shd w:val="clear" w:color="auto" w:fill="FFFFFF"/>
              </w:rPr>
              <w:t>North Atlantic or Liberal Model is characterised by low state intervention, with a market dominated system and weak Public Service Broadcasting (Hallin and Mancini 2004).  </w:t>
            </w:r>
            <w:r w:rsidRPr="006E4E36">
              <w:rPr>
                <w:rStyle w:val="eop"/>
                <w:color w:val="000000"/>
                <w:shd w:val="clear" w:color="auto" w:fill="FFFFFF"/>
              </w:rPr>
              <w:t> </w:t>
            </w:r>
          </w:p>
        </w:tc>
      </w:tr>
      <w:tr w:rsidR="00786213" w:rsidRPr="006E4E36"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6E4E36" w:rsidRDefault="0081774C" w:rsidP="00CB46D4">
            <w:pPr>
              <w:rPr>
                <w:color w:val="747474" w:themeColor="background2" w:themeShade="80"/>
              </w:rPr>
            </w:pPr>
            <w:r w:rsidRPr="006E4E36">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6E4E36"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Media Plurality indicators</w:t>
            </w:r>
          </w:p>
        </w:tc>
        <w:tc>
          <w:tcPr>
            <w:tcW w:w="2127" w:type="dxa"/>
            <w:tcBorders>
              <w:top w:val="none" w:sz="0" w:space="0" w:color="auto"/>
              <w:bottom w:val="none" w:sz="0" w:space="0" w:color="auto"/>
            </w:tcBorders>
          </w:tcPr>
          <w:p w14:paraId="664D761C" w14:textId="4347D4E4" w:rsidR="00786213" w:rsidRPr="006E4E3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B8EEE2" w14:textId="4F933209" w:rsidR="00786213" w:rsidRPr="006E4E36" w:rsidRDefault="006E4E36" w:rsidP="00CB46D4">
            <w:pPr>
              <w:cnfStyle w:val="000000100000" w:firstRow="0" w:lastRow="0" w:firstColumn="0" w:lastColumn="0" w:oddVBand="0" w:evenVBand="0" w:oddHBand="1" w:evenHBand="0" w:firstRowFirstColumn="0" w:firstRowLastColumn="0" w:lastRowFirstColumn="0" w:lastRowLastColumn="0"/>
            </w:pPr>
            <w:r w:rsidRPr="006E4E36">
              <w:rPr>
                <w:rStyle w:val="normaltextrun"/>
                <w:color w:val="000000"/>
                <w:shd w:val="clear" w:color="auto" w:fill="FFFFFF"/>
              </w:rPr>
              <w:t>Canada is not included in Media Plurality Monitor Tracking.</w:t>
            </w:r>
            <w:r w:rsidRPr="006E4E36">
              <w:rPr>
                <w:rStyle w:val="eop"/>
                <w:color w:val="000000"/>
                <w:shd w:val="clear" w:color="auto" w:fill="FFFFFF"/>
              </w:rPr>
              <w:t> </w:t>
            </w:r>
          </w:p>
        </w:tc>
      </w:tr>
      <w:tr w:rsidR="00786213" w:rsidRPr="006E4E36"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6E4E36" w:rsidRDefault="0081774C" w:rsidP="00CB46D4">
            <w:pPr>
              <w:rPr>
                <w:color w:val="747474" w:themeColor="background2" w:themeShade="80"/>
              </w:rPr>
            </w:pPr>
            <w:r w:rsidRPr="006E4E36">
              <w:rPr>
                <w:color w:val="747474" w:themeColor="background2" w:themeShade="80"/>
              </w:rPr>
              <w:t>2.4</w:t>
            </w:r>
          </w:p>
        </w:tc>
        <w:tc>
          <w:tcPr>
            <w:tcW w:w="2126" w:type="dxa"/>
          </w:tcPr>
          <w:p w14:paraId="7F7582D6" w14:textId="288288B7" w:rsidR="00786213" w:rsidRPr="006E4E36"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Media Market (MM)</w:t>
            </w:r>
          </w:p>
        </w:tc>
        <w:tc>
          <w:tcPr>
            <w:tcW w:w="2127" w:type="dxa"/>
          </w:tcPr>
          <w:p w14:paraId="5A293F35" w14:textId="61E903E8" w:rsidR="00786213" w:rsidRPr="006E4E3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4E9612CB" w:rsidR="00786213" w:rsidRPr="006E4E36" w:rsidRDefault="006E4E36" w:rsidP="00CB46D4">
            <w:pPr>
              <w:cnfStyle w:val="000000000000" w:firstRow="0" w:lastRow="0" w:firstColumn="0" w:lastColumn="0" w:oddVBand="0" w:evenVBand="0" w:oddHBand="0" w:evenHBand="0" w:firstRowFirstColumn="0" w:firstRowLastColumn="0" w:lastRowFirstColumn="0" w:lastRowLastColumn="0"/>
            </w:pPr>
            <w:r w:rsidRPr="006E4E36">
              <w:t xml:space="preserve">Overall revenue for the broadly defined network media economy (includes mobile wireless and internet access) was $94.3 billion (CDN) in 2021 or $29.5 billion for content media only, </w:t>
            </w:r>
            <w:proofErr w:type="spellStart"/>
            <w:r w:rsidRPr="006E4E36">
              <w:t>i.e</w:t>
            </w:r>
            <w:proofErr w:type="spellEnd"/>
            <w:r w:rsidRPr="006E4E36">
              <w:t xml:space="preserve"> TV, radio, music, </w:t>
            </w:r>
            <w:proofErr w:type="spellStart"/>
            <w:r w:rsidRPr="006E4E36">
              <w:t>newpapers</w:t>
            </w:r>
            <w:proofErr w:type="spellEnd"/>
            <w:r w:rsidRPr="006E4E36">
              <w:t>, magazines, internet advertising, online video, digital games, digital music</w:t>
            </w:r>
            <w:r w:rsidR="00A502EE">
              <w:t xml:space="preserve"> (</w:t>
            </w:r>
            <w:proofErr w:type="spellStart"/>
            <w:r w:rsidR="00A502EE">
              <w:fldChar w:fldCharType="begin"/>
            </w:r>
            <w:r w:rsidR="00A502EE">
              <w:instrText xml:space="preserve"> HYPERLINK "https://repository.library.carleton.ca/concern/research_works/qb98mf474" </w:instrText>
            </w:r>
            <w:r w:rsidR="00A502EE">
              <w:fldChar w:fldCharType="separate"/>
            </w:r>
            <w:r w:rsidR="00A502EE" w:rsidRPr="00A502EE">
              <w:rPr>
                <w:rStyle w:val="Hyperlink"/>
              </w:rPr>
              <w:t>Winseck</w:t>
            </w:r>
            <w:proofErr w:type="spellEnd"/>
            <w:r w:rsidR="00A502EE" w:rsidRPr="00A502EE">
              <w:rPr>
                <w:rStyle w:val="Hyperlink"/>
              </w:rPr>
              <w:t xml:space="preserve"> 2022</w:t>
            </w:r>
            <w:r w:rsidR="00A502EE">
              <w:fldChar w:fldCharType="end"/>
            </w:r>
            <w:r w:rsidR="00A502EE">
              <w:t>: 34)</w:t>
            </w:r>
            <w:r w:rsidRPr="006E4E36">
              <w:t xml:space="preserve">. </w:t>
            </w:r>
          </w:p>
        </w:tc>
      </w:tr>
      <w:tr w:rsidR="00786213" w:rsidRPr="006E4E36"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6E4E36" w:rsidRDefault="0081774C" w:rsidP="00CB46D4">
            <w:pPr>
              <w:rPr>
                <w:color w:val="747474" w:themeColor="background2" w:themeShade="80"/>
              </w:rPr>
            </w:pPr>
            <w:r w:rsidRPr="006E4E36">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6E4E36"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MM news publishing</w:t>
            </w:r>
          </w:p>
        </w:tc>
        <w:tc>
          <w:tcPr>
            <w:tcW w:w="2127" w:type="dxa"/>
            <w:tcBorders>
              <w:top w:val="none" w:sz="0" w:space="0" w:color="auto"/>
              <w:bottom w:val="none" w:sz="0" w:space="0" w:color="auto"/>
            </w:tcBorders>
          </w:tcPr>
          <w:p w14:paraId="2C916552" w14:textId="7CD64054" w:rsidR="00786213" w:rsidRPr="006E4E3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617F2309" w:rsidR="00786213" w:rsidRPr="00A502EE" w:rsidRDefault="00A502EE" w:rsidP="00CB46D4">
            <w:pPr>
              <w:cnfStyle w:val="000000100000" w:firstRow="0" w:lastRow="0" w:firstColumn="0" w:lastColumn="0" w:oddVBand="0" w:evenVBand="0" w:oddHBand="1" w:evenHBand="0" w:firstRowFirstColumn="0" w:firstRowLastColumn="0" w:lastRowFirstColumn="0" w:lastRowLastColumn="0"/>
            </w:pPr>
            <w:r w:rsidRPr="00A502EE">
              <w:rPr>
                <w:rStyle w:val="normaltextrun"/>
                <w:color w:val="000000"/>
                <w:shd w:val="clear" w:color="auto" w:fill="FFFFFF"/>
              </w:rPr>
              <w:t>Canadian newspaper publishing market is struggling due to the dominance of the digital market, post-pandemic crisis and audiences’ growing disinterest in print media. The industry has been experiencing a gradual decline with its revenue decreasing at a CAGR of 9.5% over the past five years. In 2023, the revenue is expected to reach total $2.0 billion, which represents an 8.1% dip, while profit levels hit 5.9% (</w:t>
            </w:r>
            <w:hyperlink r:id="rId19" w:anchor="IndustryStatisticsAndTrends" w:tgtFrame="_blank" w:history="1">
              <w:r w:rsidRPr="00A502EE">
                <w:rPr>
                  <w:rStyle w:val="normaltextrun"/>
                  <w:color w:val="0563C1"/>
                  <w:u w:val="single"/>
                  <w:shd w:val="clear" w:color="auto" w:fill="FFFFFF"/>
                </w:rPr>
                <w:t>IBIS World 2023</w:t>
              </w:r>
            </w:hyperlink>
            <w:r w:rsidRPr="00A502EE">
              <w:rPr>
                <w:rStyle w:val="normaltextrun"/>
                <w:color w:val="000000"/>
                <w:shd w:val="clear" w:color="auto" w:fill="FFFFFF"/>
              </w:rPr>
              <w:t xml:space="preserve">). The federal government responded to the crisis in the Canadian news industry by passing new legislation: </w:t>
            </w:r>
            <w:hyperlink r:id="rId20" w:tgtFrame="_blank" w:history="1">
              <w:r w:rsidRPr="00A502EE">
                <w:rPr>
                  <w:rStyle w:val="normaltextrun"/>
                  <w:color w:val="0563C1"/>
                  <w:u w:val="single"/>
                  <w:shd w:val="clear" w:color="auto" w:fill="FFFFFF"/>
                </w:rPr>
                <w:t>The Online News Act</w:t>
              </w:r>
            </w:hyperlink>
            <w:r w:rsidRPr="00A502EE">
              <w:rPr>
                <w:rStyle w:val="normaltextrun"/>
                <w:color w:val="000000"/>
                <w:shd w:val="clear" w:color="auto" w:fill="FFFFFF"/>
              </w:rPr>
              <w:t xml:space="preserve"> (effective from December 2023), which introduces new obligations on online media platforms to assure that businesses using them are compensated fairly (</w:t>
            </w:r>
            <w:hyperlink r:id="rId21" w:tgtFrame="_blank" w:history="1">
              <w:r w:rsidRPr="00A502EE">
                <w:rPr>
                  <w:rStyle w:val="normaltextrun"/>
                  <w:color w:val="0563C1"/>
                  <w:u w:val="single"/>
                  <w:shd w:val="clear" w:color="auto" w:fill="FFFFFF"/>
                </w:rPr>
                <w:t xml:space="preserve">Reive, Brooks, </w:t>
              </w:r>
              <w:proofErr w:type="spellStart"/>
              <w:r w:rsidRPr="00A502EE">
                <w:rPr>
                  <w:rStyle w:val="normaltextrun"/>
                  <w:color w:val="0563C1"/>
                  <w:u w:val="single"/>
                  <w:shd w:val="clear" w:color="auto" w:fill="FFFFFF"/>
                </w:rPr>
                <w:t>Ajami</w:t>
              </w:r>
              <w:proofErr w:type="spellEnd"/>
              <w:r w:rsidRPr="00A502EE">
                <w:rPr>
                  <w:rStyle w:val="normaltextrun"/>
                  <w:color w:val="0563C1"/>
                  <w:u w:val="single"/>
                  <w:shd w:val="clear" w:color="auto" w:fill="FFFFFF"/>
                </w:rPr>
                <w:t xml:space="preserve">, </w:t>
              </w:r>
              <w:proofErr w:type="spellStart"/>
              <w:r w:rsidRPr="00A502EE">
                <w:rPr>
                  <w:rStyle w:val="normaltextrun"/>
                  <w:color w:val="0563C1"/>
                  <w:u w:val="single"/>
                  <w:shd w:val="clear" w:color="auto" w:fill="FFFFFF"/>
                </w:rPr>
                <w:t>Ricioppo</w:t>
              </w:r>
              <w:proofErr w:type="spellEnd"/>
              <w:r w:rsidRPr="00A502EE">
                <w:rPr>
                  <w:rStyle w:val="normaltextrun"/>
                  <w:color w:val="0563C1"/>
                  <w:u w:val="single"/>
                  <w:shd w:val="clear" w:color="auto" w:fill="FFFFFF"/>
                </w:rPr>
                <w:t xml:space="preserve"> 2023</w:t>
              </w:r>
            </w:hyperlink>
            <w:r w:rsidRPr="00A502EE">
              <w:rPr>
                <w:rStyle w:val="normaltextrun"/>
                <w:color w:val="000000"/>
                <w:shd w:val="clear" w:color="auto" w:fill="FFFFFF"/>
              </w:rPr>
              <w:t>).</w:t>
            </w:r>
            <w:r w:rsidRPr="00A502EE">
              <w:rPr>
                <w:rStyle w:val="eop"/>
                <w:color w:val="000000"/>
                <w:shd w:val="clear" w:color="auto" w:fill="FFFFFF"/>
              </w:rPr>
              <w:t> </w:t>
            </w:r>
          </w:p>
        </w:tc>
      </w:tr>
      <w:tr w:rsidR="00786213" w:rsidRPr="006E4E36"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6E4E36" w:rsidRDefault="0081774C" w:rsidP="00CB46D4">
            <w:pPr>
              <w:rPr>
                <w:color w:val="747474" w:themeColor="background2" w:themeShade="80"/>
              </w:rPr>
            </w:pPr>
            <w:r w:rsidRPr="006E4E36">
              <w:rPr>
                <w:color w:val="747474" w:themeColor="background2" w:themeShade="80"/>
              </w:rPr>
              <w:t>2.6</w:t>
            </w:r>
          </w:p>
        </w:tc>
        <w:tc>
          <w:tcPr>
            <w:tcW w:w="2126" w:type="dxa"/>
          </w:tcPr>
          <w:p w14:paraId="1CAD36D2" w14:textId="2980C256" w:rsidR="00786213" w:rsidRPr="006E4E36"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MM AV production</w:t>
            </w:r>
          </w:p>
        </w:tc>
        <w:tc>
          <w:tcPr>
            <w:tcW w:w="2127" w:type="dxa"/>
          </w:tcPr>
          <w:p w14:paraId="3C1CD887" w14:textId="0CE476CC" w:rsidR="00786213" w:rsidRPr="006E4E3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7280001F" w:rsidR="00786213" w:rsidRPr="00A502EE" w:rsidRDefault="00A502EE" w:rsidP="00CB46D4">
            <w:pPr>
              <w:cnfStyle w:val="000000000000" w:firstRow="0" w:lastRow="0" w:firstColumn="0" w:lastColumn="0" w:oddVBand="0" w:evenVBand="0" w:oddHBand="0" w:evenHBand="0" w:firstRowFirstColumn="0" w:firstRowLastColumn="0" w:lastRowFirstColumn="0" w:lastRowLastColumn="0"/>
              <w:rPr>
                <w:i/>
                <w:iCs/>
              </w:rPr>
            </w:pPr>
            <w:r w:rsidRPr="00A502EE">
              <w:rPr>
                <w:i/>
                <w:iCs/>
              </w:rPr>
              <w:t>This section is under development.</w:t>
            </w:r>
          </w:p>
        </w:tc>
      </w:tr>
      <w:tr w:rsidR="00786213" w:rsidRPr="006E4E36"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6E4E36" w:rsidRDefault="0081774C" w:rsidP="00CB46D4">
            <w:pPr>
              <w:rPr>
                <w:color w:val="747474" w:themeColor="background2" w:themeShade="80"/>
              </w:rPr>
            </w:pPr>
            <w:r w:rsidRPr="006E4E36">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6E4E36"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MM Public Service Media</w:t>
            </w:r>
          </w:p>
        </w:tc>
        <w:tc>
          <w:tcPr>
            <w:tcW w:w="2127" w:type="dxa"/>
            <w:tcBorders>
              <w:top w:val="none" w:sz="0" w:space="0" w:color="auto"/>
              <w:bottom w:val="none" w:sz="0" w:space="0" w:color="auto"/>
            </w:tcBorders>
          </w:tcPr>
          <w:p w14:paraId="46184305" w14:textId="2E2642FC" w:rsidR="00786213" w:rsidRPr="006E4E3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0F913F6B" w:rsidR="00786213" w:rsidRPr="006E4E36" w:rsidRDefault="00EB104E" w:rsidP="006E4E36">
            <w:pPr>
              <w:cnfStyle w:val="000000100000" w:firstRow="0" w:lastRow="0" w:firstColumn="0" w:lastColumn="0" w:oddVBand="0" w:evenVBand="0" w:oddHBand="1" w:evenHBand="0" w:firstRowFirstColumn="0" w:firstRowLastColumn="0" w:lastRowFirstColumn="0" w:lastRowLastColumn="0"/>
            </w:pPr>
            <w:r w:rsidRPr="006E4E36">
              <w:t>The Canadian Broadcasting Corporation (CBC) is publicly owned with an annual Parliamentary appropriation of $1,240 million (CDN) for 2021-2022 (</w:t>
            </w:r>
            <w:hyperlink r:id="rId22" w:history="1">
              <w:r w:rsidRPr="006E4E36">
                <w:rPr>
                  <w:rStyle w:val="Hyperlink"/>
                </w:rPr>
                <w:t>CBC 2022</w:t>
              </w:r>
            </w:hyperlink>
            <w:r w:rsidRPr="006E4E36">
              <w:t xml:space="preserve">: 36). In 2021-2022, the CBC budget reached $651 million (CDN), which represents an increase of </w:t>
            </w:r>
            <w:r w:rsidR="006E4E36" w:rsidRPr="006E4E36">
              <w:t xml:space="preserve">29.3%, </w:t>
            </w:r>
            <w:r w:rsidR="00F97213">
              <w:t>explained</w:t>
            </w:r>
            <w:r w:rsidR="006E4E36" w:rsidRPr="006E4E36">
              <w:t xml:space="preserve"> by a strong recovery of demand for television advertising and</w:t>
            </w:r>
            <w:r w:rsidR="00F97213">
              <w:t xml:space="preserve"> the</w:t>
            </w:r>
            <w:r w:rsidR="006E4E36" w:rsidRPr="006E4E36">
              <w:t xml:space="preserve"> advertising revenue from the coverage of the Tokyo 2020 Olympic Games (</w:t>
            </w:r>
            <w:hyperlink r:id="rId23" w:history="1">
              <w:r w:rsidR="006E4E36" w:rsidRPr="006E4E36">
                <w:rPr>
                  <w:rStyle w:val="Hyperlink"/>
                </w:rPr>
                <w:t>CBC 2022</w:t>
              </w:r>
            </w:hyperlink>
            <w:r w:rsidR="006E4E36" w:rsidRPr="006E4E36">
              <w:t>: 3).</w:t>
            </w:r>
          </w:p>
        </w:tc>
      </w:tr>
      <w:tr w:rsidR="00786213" w:rsidRPr="006E4E36"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6E4E36" w:rsidRDefault="0081774C" w:rsidP="00CB46D4">
            <w:pPr>
              <w:rPr>
                <w:color w:val="747474" w:themeColor="background2" w:themeShade="80"/>
              </w:rPr>
            </w:pPr>
            <w:r w:rsidRPr="006E4E36">
              <w:rPr>
                <w:color w:val="747474" w:themeColor="background2" w:themeShade="80"/>
              </w:rPr>
              <w:lastRenderedPageBreak/>
              <w:t>2.8</w:t>
            </w:r>
          </w:p>
        </w:tc>
        <w:tc>
          <w:tcPr>
            <w:tcW w:w="2126" w:type="dxa"/>
          </w:tcPr>
          <w:p w14:paraId="7B5B2051" w14:textId="794A7534" w:rsidR="00786213" w:rsidRPr="006E4E36"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MM other</w:t>
            </w:r>
          </w:p>
        </w:tc>
        <w:tc>
          <w:tcPr>
            <w:tcW w:w="2127" w:type="dxa"/>
          </w:tcPr>
          <w:p w14:paraId="71F3B996" w14:textId="77777777" w:rsidR="00786213" w:rsidRPr="006E4E3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6E4E36"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6E4E36"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6E4E36" w:rsidRDefault="0081774C" w:rsidP="00CB46D4">
            <w:pPr>
              <w:rPr>
                <w:color w:val="747474" w:themeColor="background2" w:themeShade="80"/>
              </w:rPr>
            </w:pPr>
            <w:r w:rsidRPr="006E4E36">
              <w:rPr>
                <w:color w:val="747474" w:themeColor="background2" w:themeShade="80"/>
              </w:rPr>
              <w:t>2.9</w:t>
            </w:r>
          </w:p>
        </w:tc>
        <w:tc>
          <w:tcPr>
            <w:tcW w:w="2126" w:type="dxa"/>
          </w:tcPr>
          <w:p w14:paraId="120ECACA" w14:textId="6C32FF1A" w:rsidR="00786213" w:rsidRPr="006E4E36"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Media Viability (from MPM)</w:t>
            </w:r>
          </w:p>
        </w:tc>
        <w:tc>
          <w:tcPr>
            <w:tcW w:w="2127" w:type="dxa"/>
          </w:tcPr>
          <w:p w14:paraId="5C866F3D" w14:textId="77777777" w:rsidR="00786213" w:rsidRPr="006E4E3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C66586B" w14:textId="09BB2D4C" w:rsidR="00786213" w:rsidRPr="006E4E36" w:rsidRDefault="00A502EE" w:rsidP="00CB46D4">
            <w:pPr>
              <w:cnfStyle w:val="000000100000" w:firstRow="0" w:lastRow="0" w:firstColumn="0" w:lastColumn="0" w:oddVBand="0" w:evenVBand="0" w:oddHBand="1" w:evenHBand="0" w:firstRowFirstColumn="0" w:firstRowLastColumn="0" w:lastRowFirstColumn="0" w:lastRowLastColumn="0"/>
            </w:pPr>
            <w:r w:rsidRPr="006E4E36">
              <w:rPr>
                <w:rStyle w:val="normaltextrun"/>
                <w:color w:val="000000"/>
                <w:shd w:val="clear" w:color="auto" w:fill="FFFFFF"/>
              </w:rPr>
              <w:t>Canada is not included in Media Plurality Monitor Tracking.</w:t>
            </w:r>
            <w:r w:rsidRPr="006E4E36">
              <w:rPr>
                <w:rStyle w:val="eop"/>
                <w:color w:val="000000"/>
                <w:shd w:val="clear" w:color="auto" w:fill="FFFFFF"/>
              </w:rPr>
              <w:t> </w:t>
            </w:r>
          </w:p>
        </w:tc>
      </w:tr>
      <w:tr w:rsidR="00786213" w:rsidRPr="006E4E36"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6E4E36" w:rsidRDefault="0081774C" w:rsidP="00CB46D4">
            <w:pPr>
              <w:rPr>
                <w:color w:val="747474" w:themeColor="background2" w:themeShade="80"/>
              </w:rPr>
            </w:pPr>
            <w:r w:rsidRPr="006E4E36">
              <w:rPr>
                <w:color w:val="747474" w:themeColor="background2" w:themeShade="80"/>
              </w:rPr>
              <w:t>2.10</w:t>
            </w:r>
          </w:p>
        </w:tc>
        <w:tc>
          <w:tcPr>
            <w:tcW w:w="2126" w:type="dxa"/>
          </w:tcPr>
          <w:p w14:paraId="2CF7D4AD" w14:textId="5F9A4C73" w:rsidR="00786213" w:rsidRPr="006E4E36"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Advertising Market (AM)</w:t>
            </w:r>
          </w:p>
        </w:tc>
        <w:tc>
          <w:tcPr>
            <w:tcW w:w="2127" w:type="dxa"/>
          </w:tcPr>
          <w:p w14:paraId="3AA6B93B" w14:textId="77777777" w:rsidR="00786213" w:rsidRPr="006E4E36"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3C0245D4" w:rsidR="00786213" w:rsidRPr="006E4E36" w:rsidRDefault="00ED39C5" w:rsidP="00CB46D4">
            <w:pPr>
              <w:cnfStyle w:val="000000000000" w:firstRow="0" w:lastRow="0" w:firstColumn="0" w:lastColumn="0" w:oddVBand="0" w:evenVBand="0" w:oddHBand="0" w:evenHBand="0" w:firstRowFirstColumn="0" w:firstRowLastColumn="0" w:lastRowFirstColumn="0" w:lastRowLastColumn="0"/>
            </w:pPr>
            <w:r w:rsidRPr="00ED39C5">
              <w:t>According to Statista, in 2024, with</w:t>
            </w:r>
            <w:r>
              <w:t xml:space="preserve"> an expected</w:t>
            </w:r>
            <w:r w:rsidRPr="00ED39C5">
              <w:t xml:space="preserve"> ad</w:t>
            </w:r>
            <w:r>
              <w:t>vertising</w:t>
            </w:r>
            <w:r w:rsidRPr="00ED39C5">
              <w:t xml:space="preserve"> expenditure of $16.63 billion, Canadian advertising market is one of the largest in the world </w:t>
            </w:r>
            <w:r w:rsidRPr="00ED39C5">
              <w:rPr>
                <w:rStyle w:val="normaltextrun"/>
                <w:color w:val="000000"/>
                <w:shd w:val="clear" w:color="auto" w:fill="FFFFFF"/>
              </w:rPr>
              <w:t>(</w:t>
            </w:r>
            <w:proofErr w:type="spellStart"/>
            <w:r w:rsidRPr="00ED39C5">
              <w:fldChar w:fldCharType="begin"/>
            </w:r>
            <w:r w:rsidRPr="00ED39C5">
              <w:instrText xml:space="preserve"> HYPERLINK "https://www.statista.com/topics/1837/advertising-in-canada/%22%20/l%20%22dossier-chapter4" \t "_blank" </w:instrText>
            </w:r>
            <w:r w:rsidRPr="00ED39C5">
              <w:fldChar w:fldCharType="separate"/>
            </w:r>
            <w:r w:rsidRPr="00ED39C5">
              <w:rPr>
                <w:rStyle w:val="normaltextrun"/>
                <w:color w:val="0563C1"/>
                <w:u w:val="single"/>
              </w:rPr>
              <w:t>Dencheva</w:t>
            </w:r>
            <w:proofErr w:type="spellEnd"/>
            <w:r w:rsidRPr="00ED39C5">
              <w:rPr>
                <w:rStyle w:val="normaltextrun"/>
                <w:color w:val="0563C1"/>
                <w:u w:val="single"/>
              </w:rPr>
              <w:t xml:space="preserve"> 2024</w:t>
            </w:r>
            <w:r w:rsidRPr="00ED39C5">
              <w:fldChar w:fldCharType="end"/>
            </w:r>
            <w:r w:rsidRPr="00ED39C5">
              <w:rPr>
                <w:rStyle w:val="normaltextrun"/>
                <w:color w:val="000000"/>
                <w:shd w:val="clear" w:color="auto" w:fill="FFFFFF"/>
              </w:rPr>
              <w:t>).</w:t>
            </w:r>
            <w:r>
              <w:rPr>
                <w:rStyle w:val="eop"/>
                <w:rFonts w:ascii="Calibri" w:hAnsi="Calibri" w:cs="Calibri"/>
                <w:color w:val="000000"/>
                <w:shd w:val="clear" w:color="auto" w:fill="FFFFFF"/>
              </w:rPr>
              <w:t> </w:t>
            </w:r>
            <w:r w:rsidR="00A502EE">
              <w:t xml:space="preserve">In 2022, the Canadian advertising market was worth </w:t>
            </w:r>
            <w:r w:rsidR="00A502EE" w:rsidRPr="00A502EE">
              <w:t>$17.</w:t>
            </w:r>
            <w:r w:rsidR="00A502EE" w:rsidRPr="00ED39C5">
              <w:t>6 billion CDN across all media, based on a compilation of sources (</w:t>
            </w:r>
            <w:proofErr w:type="spellStart"/>
            <w:r w:rsidR="00A502EE" w:rsidRPr="00ED39C5">
              <w:fldChar w:fldCharType="begin"/>
            </w:r>
            <w:r w:rsidR="00A502EE" w:rsidRPr="00ED39C5">
              <w:instrText xml:space="preserve"> HYPERLINK "https://repository.library.carleton.ca/concern/research_works/qb98mf474" </w:instrText>
            </w:r>
            <w:r w:rsidR="00A502EE" w:rsidRPr="00ED39C5">
              <w:fldChar w:fldCharType="separate"/>
            </w:r>
            <w:r w:rsidR="00A502EE" w:rsidRPr="00ED39C5">
              <w:rPr>
                <w:rStyle w:val="Hyperlink"/>
              </w:rPr>
              <w:t>Winseck</w:t>
            </w:r>
            <w:proofErr w:type="spellEnd"/>
            <w:r w:rsidR="00A502EE" w:rsidRPr="00ED39C5">
              <w:rPr>
                <w:rStyle w:val="Hyperlink"/>
              </w:rPr>
              <w:t xml:space="preserve"> 2022</w:t>
            </w:r>
            <w:r w:rsidR="00A502EE" w:rsidRPr="00ED39C5">
              <w:fldChar w:fldCharType="end"/>
            </w:r>
            <w:r w:rsidR="00A502EE" w:rsidRPr="00ED39C5">
              <w:t>: 28).</w:t>
            </w:r>
            <w:r w:rsidRPr="00ED39C5">
              <w:t xml:space="preserve"> </w:t>
            </w:r>
          </w:p>
        </w:tc>
      </w:tr>
      <w:tr w:rsidR="00786213" w:rsidRPr="006E4E36"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6E4E36" w:rsidRDefault="0081774C" w:rsidP="00CB46D4">
            <w:pPr>
              <w:rPr>
                <w:color w:val="747474" w:themeColor="background2" w:themeShade="80"/>
              </w:rPr>
            </w:pPr>
            <w:r w:rsidRPr="006E4E36">
              <w:rPr>
                <w:color w:val="747474" w:themeColor="background2" w:themeShade="80"/>
              </w:rPr>
              <w:t>2.11</w:t>
            </w:r>
          </w:p>
        </w:tc>
        <w:tc>
          <w:tcPr>
            <w:tcW w:w="2126" w:type="dxa"/>
          </w:tcPr>
          <w:p w14:paraId="43A89369" w14:textId="58B58BB9" w:rsidR="00786213" w:rsidRPr="006E4E36"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Digital Ad market</w:t>
            </w:r>
          </w:p>
        </w:tc>
        <w:tc>
          <w:tcPr>
            <w:tcW w:w="2127" w:type="dxa"/>
          </w:tcPr>
          <w:p w14:paraId="352BF4BE" w14:textId="77777777" w:rsidR="00786213" w:rsidRPr="006E4E36"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36194F47" w:rsidR="00786213" w:rsidRPr="006E4E36" w:rsidRDefault="00ED39C5" w:rsidP="00CB46D4">
            <w:pPr>
              <w:cnfStyle w:val="000000100000" w:firstRow="0" w:lastRow="0" w:firstColumn="0" w:lastColumn="0" w:oddVBand="0" w:evenVBand="0" w:oddHBand="1" w:evenHBand="0" w:firstRowFirstColumn="0" w:firstRowLastColumn="0" w:lastRowFirstColumn="0" w:lastRowLastColumn="0"/>
            </w:pPr>
            <w:r>
              <w:t>In 2022,</w:t>
            </w:r>
            <w:r w:rsidR="00F97213">
              <w:t xml:space="preserve"> the Canadian digital advertising market </w:t>
            </w:r>
            <w:r w:rsidR="00F97213" w:rsidRPr="00F97213">
              <w:t>grew by 15% to $14.2</w:t>
            </w:r>
            <w:r w:rsidR="00F97213">
              <w:t xml:space="preserve"> billion (CDN), which</w:t>
            </w:r>
            <w:r w:rsidR="00F97213" w:rsidRPr="00F97213">
              <w:t xml:space="preserve"> </w:t>
            </w:r>
            <w:r w:rsidR="00F97213">
              <w:t>aligns with revenue expectations for the year previous</w:t>
            </w:r>
            <w:r w:rsidR="00044F50">
              <w:t xml:space="preserve"> (</w:t>
            </w:r>
            <w:hyperlink r:id="rId24" w:history="1">
              <w:r w:rsidR="00044F50" w:rsidRPr="00044F50">
                <w:rPr>
                  <w:rStyle w:val="Hyperlink"/>
                </w:rPr>
                <w:t>IAB 2023</w:t>
              </w:r>
            </w:hyperlink>
            <w:r w:rsidR="00044F50">
              <w:t>: 2)</w:t>
            </w:r>
            <w:r w:rsidR="00F97213" w:rsidRPr="00F97213">
              <w:t>.</w:t>
            </w:r>
            <w:r>
              <w:t xml:space="preserve"> </w:t>
            </w:r>
            <w:r w:rsidR="00044F50">
              <w:t>In 2021, t</w:t>
            </w:r>
            <w:r>
              <w:t xml:space="preserve">he market was worth </w:t>
            </w:r>
            <w:r w:rsidRPr="00ED39C5">
              <w:t xml:space="preserve">$12.3 billion </w:t>
            </w:r>
            <w:r>
              <w:t>(</w:t>
            </w:r>
            <w:r w:rsidRPr="00ED39C5">
              <w:t>CDN</w:t>
            </w:r>
            <w:r>
              <w:t>)</w:t>
            </w:r>
            <w:r w:rsidRPr="00ED39C5">
              <w:t xml:space="preserve"> </w:t>
            </w:r>
            <w:r w:rsidR="00044F50">
              <w:t>(</w:t>
            </w:r>
            <w:hyperlink r:id="rId25" w:history="1">
              <w:r w:rsidR="00044F50" w:rsidRPr="00044F50">
                <w:rPr>
                  <w:rStyle w:val="Hyperlink"/>
                </w:rPr>
                <w:t>IAB 2022</w:t>
              </w:r>
            </w:hyperlink>
            <w:r w:rsidR="00044F50">
              <w:t xml:space="preserve">: 14; </w:t>
            </w:r>
            <w:hyperlink r:id="rId26" w:history="1">
              <w:proofErr w:type="spellStart"/>
              <w:r w:rsidR="00F97213" w:rsidRPr="00ED39C5">
                <w:rPr>
                  <w:rStyle w:val="Hyperlink"/>
                </w:rPr>
                <w:t>Winseck</w:t>
              </w:r>
              <w:proofErr w:type="spellEnd"/>
              <w:r w:rsidR="00F97213" w:rsidRPr="00ED39C5">
                <w:rPr>
                  <w:rStyle w:val="Hyperlink"/>
                </w:rPr>
                <w:t xml:space="preserve"> 2022</w:t>
              </w:r>
            </w:hyperlink>
            <w:r w:rsidR="00F97213" w:rsidRPr="00ED39C5">
              <w:t>: 2</w:t>
            </w:r>
            <w:r w:rsidR="00F97213">
              <w:t>7</w:t>
            </w:r>
            <w:r w:rsidR="00F97213" w:rsidRPr="00ED39C5">
              <w:t>).</w:t>
            </w:r>
          </w:p>
        </w:tc>
      </w:tr>
      <w:tr w:rsidR="007D008B" w:rsidRPr="006E4E36"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6E4E36" w:rsidRDefault="0081774C" w:rsidP="00CB46D4">
            <w:pPr>
              <w:rPr>
                <w:color w:val="747474" w:themeColor="background2" w:themeShade="80"/>
              </w:rPr>
            </w:pPr>
            <w:r w:rsidRPr="006E4E36">
              <w:rPr>
                <w:color w:val="747474" w:themeColor="background2" w:themeShade="80"/>
              </w:rPr>
              <w:t>2.12</w:t>
            </w:r>
          </w:p>
        </w:tc>
        <w:tc>
          <w:tcPr>
            <w:tcW w:w="2126" w:type="dxa"/>
          </w:tcPr>
          <w:p w14:paraId="17417266" w14:textId="6C2B93EC" w:rsidR="007D008B" w:rsidRPr="006E4E36"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AM segments</w:t>
            </w:r>
          </w:p>
        </w:tc>
        <w:tc>
          <w:tcPr>
            <w:tcW w:w="2127" w:type="dxa"/>
          </w:tcPr>
          <w:p w14:paraId="44CE7DFC" w14:textId="77777777" w:rsidR="007D008B" w:rsidRPr="006E4E36"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6E4E36"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6E4E36" w:rsidRDefault="00703A7B" w:rsidP="00955813">
      <w:pPr>
        <w:pStyle w:val="SectionHead"/>
        <w:rPr>
          <w:rFonts w:cs="Arial"/>
          <w:i/>
        </w:rPr>
      </w:pPr>
      <w:bookmarkStart w:id="5" w:name="_Toc172573285"/>
      <w:r w:rsidRPr="006E4E36">
        <w:rPr>
          <w:rFonts w:cs="Arial"/>
        </w:rPr>
        <w:t>Communications: Legal and Regulatory Framework</w:t>
      </w:r>
      <w:bookmarkEnd w:id="5"/>
      <w:r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6E4E36"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6E4E36" w:rsidRDefault="00703A7B" w:rsidP="00CB46D4">
            <w:pPr>
              <w:pStyle w:val="Tableheadings"/>
              <w:spacing w:line="240" w:lineRule="auto"/>
              <w:rPr>
                <w:b/>
                <w:bCs/>
              </w:rPr>
            </w:pPr>
            <w:r w:rsidRPr="006E4E36">
              <w:rPr>
                <w:b/>
                <w:bCs/>
              </w:rPr>
              <w:t>Item</w:t>
            </w:r>
          </w:p>
        </w:tc>
        <w:tc>
          <w:tcPr>
            <w:tcW w:w="2126" w:type="dxa"/>
            <w:tcBorders>
              <w:bottom w:val="none" w:sz="0" w:space="0" w:color="auto"/>
            </w:tcBorders>
          </w:tcPr>
          <w:p w14:paraId="37EE1C86" w14:textId="77777777" w:rsidR="00703A7B" w:rsidRPr="006E4E3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44C92310" w14:textId="77777777" w:rsidR="00703A7B" w:rsidRPr="006E4E3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70" w:type="dxa"/>
            <w:tcBorders>
              <w:bottom w:val="none" w:sz="0" w:space="0" w:color="auto"/>
            </w:tcBorders>
          </w:tcPr>
          <w:p w14:paraId="7352E33E" w14:textId="77777777" w:rsidR="00703A7B" w:rsidRPr="006E4E36"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703A7B" w:rsidRPr="006E4E36"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6E4E36" w:rsidRDefault="00703A7B" w:rsidP="00CB46D4">
            <w:pPr>
              <w:rPr>
                <w:b w:val="0"/>
                <w:bCs w:val="0"/>
                <w:color w:val="747474" w:themeColor="background2" w:themeShade="80"/>
              </w:rPr>
            </w:pPr>
            <w:r w:rsidRPr="006E4E36">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6E4E36"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Supranational</w:t>
            </w:r>
          </w:p>
        </w:tc>
        <w:tc>
          <w:tcPr>
            <w:tcW w:w="2127" w:type="dxa"/>
            <w:tcBorders>
              <w:top w:val="none" w:sz="0" w:space="0" w:color="auto"/>
              <w:bottom w:val="none" w:sz="0" w:space="0" w:color="auto"/>
            </w:tcBorders>
          </w:tcPr>
          <w:p w14:paraId="3239635C" w14:textId="77777777" w:rsidR="00703A7B" w:rsidRPr="006E4E3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08DF3D2" w14:textId="4B257703" w:rsidR="00940ED1" w:rsidRDefault="00044F50" w:rsidP="00940ED1">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044F50">
              <w:rPr>
                <w:rFonts w:ascii="Arial" w:hAnsi="Arial" w:cs="Arial"/>
                <w:sz w:val="22"/>
                <w:szCs w:val="22"/>
              </w:rPr>
              <w:t>Canada US Mexico Trade Agreement</w:t>
            </w:r>
            <w:r w:rsidR="00940ED1">
              <w:rPr>
                <w:rFonts w:ascii="Arial" w:hAnsi="Arial" w:cs="Arial"/>
                <w:sz w:val="22"/>
                <w:szCs w:val="22"/>
              </w:rPr>
              <w:t>.</w:t>
            </w:r>
          </w:p>
          <w:p w14:paraId="211F3EA1" w14:textId="5BCEB8E8" w:rsidR="00940ED1" w:rsidRDefault="00044F50" w:rsidP="00940ED1">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044F50">
              <w:rPr>
                <w:rFonts w:ascii="Arial" w:hAnsi="Arial" w:cs="Arial"/>
                <w:sz w:val="22"/>
                <w:szCs w:val="22"/>
              </w:rPr>
              <w:t>WTO Basic Telecoms Agreement and GATS</w:t>
            </w:r>
            <w:r w:rsidR="00940ED1">
              <w:rPr>
                <w:rFonts w:ascii="Arial" w:hAnsi="Arial" w:cs="Arial"/>
                <w:sz w:val="22"/>
                <w:szCs w:val="22"/>
              </w:rPr>
              <w:t>.</w:t>
            </w:r>
            <w:r w:rsidRPr="00044F50">
              <w:rPr>
                <w:rFonts w:ascii="Arial" w:hAnsi="Arial" w:cs="Arial"/>
                <w:sz w:val="22"/>
                <w:szCs w:val="22"/>
              </w:rPr>
              <w:t xml:space="preserve"> </w:t>
            </w:r>
          </w:p>
          <w:p w14:paraId="5EA5910B" w14:textId="30CF7098" w:rsidR="00703A7B" w:rsidRPr="006E4E36" w:rsidRDefault="00044F50" w:rsidP="00940ED1">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044F50">
              <w:rPr>
                <w:rFonts w:ascii="Arial" w:hAnsi="Arial" w:cs="Arial"/>
                <w:sz w:val="22"/>
                <w:szCs w:val="22"/>
              </w:rPr>
              <w:t>UNESCO Diversity of Cultural Expression.</w:t>
            </w:r>
          </w:p>
        </w:tc>
      </w:tr>
      <w:tr w:rsidR="00703A7B" w:rsidRPr="006E4E36"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6E4E36" w:rsidRDefault="00703A7B" w:rsidP="00CB46D4">
            <w:pPr>
              <w:rPr>
                <w:color w:val="3A3A3A" w:themeColor="background2" w:themeShade="40"/>
              </w:rPr>
            </w:pPr>
            <w:r w:rsidRPr="006E4E36">
              <w:rPr>
                <w:color w:val="747474" w:themeColor="background2" w:themeShade="80"/>
              </w:rPr>
              <w:t>3.2</w:t>
            </w:r>
          </w:p>
        </w:tc>
        <w:tc>
          <w:tcPr>
            <w:tcW w:w="2126" w:type="dxa"/>
          </w:tcPr>
          <w:p w14:paraId="437C0DF8" w14:textId="5BFAECA1" w:rsidR="00703A7B" w:rsidRPr="006E4E36"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Major legislation</w:t>
            </w:r>
          </w:p>
        </w:tc>
        <w:tc>
          <w:tcPr>
            <w:tcW w:w="2127" w:type="dxa"/>
          </w:tcPr>
          <w:p w14:paraId="0930BA04" w14:textId="77777777" w:rsidR="00703A7B" w:rsidRPr="00940ED1"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942F377" w14:textId="77777777" w:rsidR="00940ED1" w:rsidRDefault="00000000" w:rsidP="00940ED1">
            <w:pPr>
              <w:pStyle w:val="paragraph"/>
              <w:numPr>
                <w:ilvl w:val="0"/>
                <w:numId w:val="23"/>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hyperlink r:id="rId27" w:history="1">
              <w:r w:rsidR="00940ED1" w:rsidRPr="00940ED1">
                <w:rPr>
                  <w:rStyle w:val="Hyperlink"/>
                  <w:rFonts w:ascii="Arial" w:eastAsiaTheme="majorEastAsia" w:hAnsi="Arial" w:cs="Arial"/>
                  <w:sz w:val="22"/>
                  <w:szCs w:val="22"/>
                </w:rPr>
                <w:t>Broadcasting Act</w:t>
              </w:r>
            </w:hyperlink>
            <w:r w:rsidR="00940ED1" w:rsidRPr="00940ED1">
              <w:rPr>
                <w:rStyle w:val="normaltextrun"/>
                <w:rFonts w:ascii="Arial" w:eastAsiaTheme="majorEastAsia" w:hAnsi="Arial" w:cs="Arial"/>
                <w:sz w:val="22"/>
                <w:szCs w:val="22"/>
              </w:rPr>
              <w:t xml:space="preserve"> (1991, as revised in 2023). </w:t>
            </w:r>
          </w:p>
          <w:p w14:paraId="4466D52F" w14:textId="4F304138" w:rsidR="00044F50" w:rsidRPr="00940ED1" w:rsidRDefault="00000000" w:rsidP="00940ED1">
            <w:pPr>
              <w:pStyle w:val="paragraph"/>
              <w:numPr>
                <w:ilvl w:val="0"/>
                <w:numId w:val="23"/>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28" w:tgtFrame="_blank" w:history="1">
              <w:r w:rsidR="00044F50" w:rsidRPr="00940ED1">
                <w:rPr>
                  <w:rStyle w:val="normaltextrun"/>
                  <w:rFonts w:ascii="Arial" w:eastAsiaTheme="majorEastAsia" w:hAnsi="Arial" w:cs="Arial"/>
                  <w:color w:val="0563C1"/>
                  <w:sz w:val="22"/>
                  <w:szCs w:val="22"/>
                  <w:u w:val="single"/>
                </w:rPr>
                <w:t>The Canadian Radio-television and Telecommunications Commission Act</w:t>
              </w:r>
            </w:hyperlink>
            <w:r w:rsidR="00044F50" w:rsidRPr="00940ED1">
              <w:rPr>
                <w:rStyle w:val="normaltextrun"/>
                <w:rFonts w:ascii="Arial" w:eastAsiaTheme="majorEastAsia" w:hAnsi="Arial" w:cs="Arial"/>
                <w:sz w:val="22"/>
                <w:szCs w:val="22"/>
              </w:rPr>
              <w:t xml:space="preserve"> (1985, as revised in 2023).</w:t>
            </w:r>
            <w:r w:rsidR="00044F50" w:rsidRPr="00940ED1">
              <w:rPr>
                <w:rStyle w:val="eop"/>
                <w:rFonts w:ascii="Arial" w:eastAsiaTheme="majorEastAsia" w:hAnsi="Arial" w:cs="Arial"/>
                <w:sz w:val="22"/>
                <w:szCs w:val="22"/>
              </w:rPr>
              <w:t> </w:t>
            </w:r>
          </w:p>
          <w:p w14:paraId="380D3DAC" w14:textId="77777777" w:rsidR="00044F50" w:rsidRPr="00940ED1" w:rsidRDefault="00000000" w:rsidP="00940ED1">
            <w:pPr>
              <w:pStyle w:val="paragraph"/>
              <w:numPr>
                <w:ilvl w:val="0"/>
                <w:numId w:val="23"/>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29" w:tgtFrame="_blank" w:history="1">
              <w:r w:rsidR="00044F50" w:rsidRPr="00940ED1">
                <w:rPr>
                  <w:rStyle w:val="normaltextrun"/>
                  <w:rFonts w:ascii="Arial" w:eastAsiaTheme="majorEastAsia" w:hAnsi="Arial" w:cs="Arial"/>
                  <w:color w:val="0563C1"/>
                  <w:sz w:val="22"/>
                  <w:szCs w:val="22"/>
                  <w:u w:val="single"/>
                </w:rPr>
                <w:t>The Telecommunications Act</w:t>
              </w:r>
            </w:hyperlink>
            <w:r w:rsidR="00044F50" w:rsidRPr="00940ED1">
              <w:rPr>
                <w:rStyle w:val="normaltextrun"/>
                <w:rFonts w:ascii="Arial" w:eastAsiaTheme="majorEastAsia" w:hAnsi="Arial" w:cs="Arial"/>
                <w:sz w:val="22"/>
                <w:szCs w:val="22"/>
              </w:rPr>
              <w:t xml:space="preserve"> (S.C. 1993, c. 38, as revised in 2023)</w:t>
            </w:r>
            <w:r w:rsidR="00044F50" w:rsidRPr="00940ED1">
              <w:rPr>
                <w:rStyle w:val="eop"/>
                <w:rFonts w:ascii="Arial" w:eastAsiaTheme="majorEastAsia" w:hAnsi="Arial" w:cs="Arial"/>
                <w:sz w:val="22"/>
                <w:szCs w:val="22"/>
              </w:rPr>
              <w:t> </w:t>
            </w:r>
          </w:p>
          <w:p w14:paraId="6F03C1E7" w14:textId="77777777" w:rsidR="00044F50" w:rsidRPr="00940ED1" w:rsidRDefault="00000000" w:rsidP="00940ED1">
            <w:pPr>
              <w:pStyle w:val="paragraph"/>
              <w:numPr>
                <w:ilvl w:val="0"/>
                <w:numId w:val="23"/>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30" w:tgtFrame="_blank" w:history="1">
              <w:r w:rsidR="00044F50" w:rsidRPr="00940ED1">
                <w:rPr>
                  <w:rStyle w:val="normaltextrun"/>
                  <w:rFonts w:ascii="Arial" w:eastAsiaTheme="majorEastAsia" w:hAnsi="Arial" w:cs="Arial"/>
                  <w:color w:val="0563C1"/>
                  <w:sz w:val="22"/>
                  <w:szCs w:val="22"/>
                  <w:u w:val="single"/>
                </w:rPr>
                <w:t>The Personal Information Protection and Electronic Documents Act</w:t>
              </w:r>
            </w:hyperlink>
            <w:r w:rsidR="00044F50" w:rsidRPr="00940ED1">
              <w:rPr>
                <w:rStyle w:val="normaltextrun"/>
                <w:rFonts w:ascii="Arial" w:eastAsiaTheme="majorEastAsia" w:hAnsi="Arial" w:cs="Arial"/>
                <w:sz w:val="22"/>
                <w:szCs w:val="22"/>
              </w:rPr>
              <w:t xml:space="preserve"> (S.C. 2000, c. 5, as revised in 2019)</w:t>
            </w:r>
            <w:r w:rsidR="00044F50" w:rsidRPr="00940ED1">
              <w:rPr>
                <w:rStyle w:val="eop"/>
                <w:rFonts w:ascii="Arial" w:eastAsiaTheme="majorEastAsia" w:hAnsi="Arial" w:cs="Arial"/>
                <w:sz w:val="22"/>
                <w:szCs w:val="22"/>
              </w:rPr>
              <w:t> </w:t>
            </w:r>
          </w:p>
          <w:p w14:paraId="2D5CD38B" w14:textId="7901741A" w:rsidR="00703A7B" w:rsidRPr="00940ED1" w:rsidRDefault="00000000" w:rsidP="00CB46D4">
            <w:pPr>
              <w:pStyle w:val="paragraph"/>
              <w:numPr>
                <w:ilvl w:val="0"/>
                <w:numId w:val="23"/>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31" w:tgtFrame="_blank" w:history="1">
              <w:r w:rsidR="00044F50" w:rsidRPr="00940ED1">
                <w:rPr>
                  <w:rStyle w:val="normaltextrun"/>
                  <w:rFonts w:ascii="Arial" w:eastAsiaTheme="majorEastAsia" w:hAnsi="Arial" w:cs="Arial"/>
                  <w:color w:val="0563C1"/>
                  <w:sz w:val="22"/>
                  <w:szCs w:val="22"/>
                  <w:u w:val="single"/>
                </w:rPr>
                <w:t>The Copyright Act</w:t>
              </w:r>
            </w:hyperlink>
            <w:r w:rsidR="00044F50" w:rsidRPr="00940ED1">
              <w:rPr>
                <w:rStyle w:val="normaltextrun"/>
                <w:rFonts w:ascii="Arial" w:eastAsiaTheme="majorEastAsia" w:hAnsi="Arial" w:cs="Arial"/>
                <w:sz w:val="22"/>
                <w:szCs w:val="22"/>
              </w:rPr>
              <w:t xml:space="preserve"> (R.S.C. 1985, c. C-42, as revised in 2023).</w:t>
            </w:r>
            <w:r w:rsidR="00044F50" w:rsidRPr="00940ED1">
              <w:rPr>
                <w:rStyle w:val="eop"/>
                <w:rFonts w:ascii="Arial" w:eastAsiaTheme="majorEastAsia" w:hAnsi="Arial" w:cs="Arial"/>
                <w:sz w:val="22"/>
                <w:szCs w:val="22"/>
              </w:rPr>
              <w:t> </w:t>
            </w:r>
          </w:p>
        </w:tc>
      </w:tr>
      <w:tr w:rsidR="00703A7B" w:rsidRPr="006E4E36"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6E4E36" w:rsidRDefault="00703A7B" w:rsidP="00CB46D4">
            <w:pPr>
              <w:rPr>
                <w:color w:val="747474" w:themeColor="background2" w:themeShade="80"/>
              </w:rPr>
            </w:pPr>
            <w:r w:rsidRPr="006E4E36">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6E4E36"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Regulatory Authorities</w:t>
            </w:r>
          </w:p>
        </w:tc>
        <w:tc>
          <w:tcPr>
            <w:tcW w:w="2127" w:type="dxa"/>
            <w:tcBorders>
              <w:top w:val="none" w:sz="0" w:space="0" w:color="auto"/>
              <w:bottom w:val="none" w:sz="0" w:space="0" w:color="auto"/>
            </w:tcBorders>
          </w:tcPr>
          <w:p w14:paraId="3C1830EA" w14:textId="77777777" w:rsidR="00703A7B" w:rsidRPr="006E4E3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749358" w14:textId="65903AE8" w:rsidR="00940ED1" w:rsidRDefault="00000000" w:rsidP="00940ED1">
            <w:pPr>
              <w:pStyle w:val="ListParagraph"/>
              <w:numPr>
                <w:ilvl w:val="0"/>
                <w:numId w:val="25"/>
              </w:numPr>
              <w:cnfStyle w:val="000000100000" w:firstRow="0" w:lastRow="0" w:firstColumn="0" w:lastColumn="0" w:oddVBand="0" w:evenVBand="0" w:oddHBand="1" w:evenHBand="0" w:firstRowFirstColumn="0" w:firstRowLastColumn="0" w:lastRowFirstColumn="0" w:lastRowLastColumn="0"/>
            </w:pPr>
            <w:hyperlink r:id="rId32" w:history="1">
              <w:r w:rsidR="00940ED1" w:rsidRPr="00940ED1">
                <w:rPr>
                  <w:rStyle w:val="Hyperlink"/>
                </w:rPr>
                <w:t>Canadian Radio-television and Telecommunications Commission</w:t>
              </w:r>
            </w:hyperlink>
            <w:r w:rsidR="00940ED1">
              <w:t>.</w:t>
            </w:r>
          </w:p>
          <w:p w14:paraId="07196591" w14:textId="023D0A1D" w:rsidR="00703A7B" w:rsidRPr="006E4E36" w:rsidRDefault="00000000" w:rsidP="00940ED1">
            <w:pPr>
              <w:pStyle w:val="ListParagraph"/>
              <w:numPr>
                <w:ilvl w:val="0"/>
                <w:numId w:val="25"/>
              </w:numPr>
              <w:cnfStyle w:val="000000100000" w:firstRow="0" w:lastRow="0" w:firstColumn="0" w:lastColumn="0" w:oddVBand="0" w:evenVBand="0" w:oddHBand="1" w:evenHBand="0" w:firstRowFirstColumn="0" w:firstRowLastColumn="0" w:lastRowFirstColumn="0" w:lastRowLastColumn="0"/>
            </w:pPr>
            <w:hyperlink r:id="rId33" w:history="1">
              <w:r w:rsidR="00940ED1" w:rsidRPr="00940ED1">
                <w:rPr>
                  <w:rStyle w:val="Hyperlink"/>
                </w:rPr>
                <w:t>Commission for Complaints for Telecom-Television Services</w:t>
              </w:r>
            </w:hyperlink>
            <w:r w:rsidR="00940ED1">
              <w:t>.</w:t>
            </w:r>
          </w:p>
        </w:tc>
      </w:tr>
      <w:tr w:rsidR="00703A7B" w:rsidRPr="006E4E36"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6E4E36" w:rsidRDefault="00703A7B" w:rsidP="00CB46D4">
            <w:pPr>
              <w:rPr>
                <w:color w:val="747474" w:themeColor="background2" w:themeShade="80"/>
              </w:rPr>
            </w:pPr>
            <w:r w:rsidRPr="006E4E36">
              <w:rPr>
                <w:color w:val="747474" w:themeColor="background2" w:themeShade="80"/>
              </w:rPr>
              <w:lastRenderedPageBreak/>
              <w:t>3.4</w:t>
            </w:r>
          </w:p>
        </w:tc>
        <w:tc>
          <w:tcPr>
            <w:tcW w:w="2126" w:type="dxa"/>
          </w:tcPr>
          <w:p w14:paraId="2D2156D6" w14:textId="1ECD2D01" w:rsidR="00703A7B" w:rsidRPr="006E4E36"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Co-regulation</w:t>
            </w:r>
          </w:p>
        </w:tc>
        <w:tc>
          <w:tcPr>
            <w:tcW w:w="2127" w:type="dxa"/>
          </w:tcPr>
          <w:p w14:paraId="730D169F" w14:textId="77777777" w:rsidR="00703A7B" w:rsidRPr="006E4E36"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5D4E153F" w:rsidR="00703A7B" w:rsidRPr="00940ED1" w:rsidRDefault="00940ED1" w:rsidP="00CB46D4">
            <w:pPr>
              <w:cnfStyle w:val="000000000000" w:firstRow="0" w:lastRow="0" w:firstColumn="0" w:lastColumn="0" w:oddVBand="0" w:evenVBand="0" w:oddHBand="0" w:evenHBand="0" w:firstRowFirstColumn="0" w:firstRowLastColumn="0" w:lastRowFirstColumn="0" w:lastRowLastColumn="0"/>
              <w:rPr>
                <w:i/>
                <w:iCs/>
              </w:rPr>
            </w:pPr>
            <w:r w:rsidRPr="00940ED1">
              <w:rPr>
                <w:i/>
                <w:iCs/>
              </w:rPr>
              <w:t>Not applicable.</w:t>
            </w:r>
          </w:p>
        </w:tc>
      </w:tr>
      <w:tr w:rsidR="00703A7B" w:rsidRPr="006E4E36"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6E4E36" w:rsidRDefault="00703A7B" w:rsidP="00CB46D4">
            <w:pPr>
              <w:rPr>
                <w:color w:val="747474" w:themeColor="background2" w:themeShade="80"/>
              </w:rPr>
            </w:pPr>
            <w:r w:rsidRPr="006E4E36">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6E4E36"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Self-regulation</w:t>
            </w:r>
          </w:p>
        </w:tc>
        <w:tc>
          <w:tcPr>
            <w:tcW w:w="2127" w:type="dxa"/>
            <w:tcBorders>
              <w:top w:val="none" w:sz="0" w:space="0" w:color="auto"/>
              <w:bottom w:val="none" w:sz="0" w:space="0" w:color="auto"/>
            </w:tcBorders>
          </w:tcPr>
          <w:p w14:paraId="199710D2" w14:textId="77777777" w:rsidR="00703A7B" w:rsidRPr="006E4E36"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4FCA53F" w14:textId="7B5320AB" w:rsidR="00940ED1" w:rsidRDefault="00000000" w:rsidP="001B2B13">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hyperlink r:id="rId34" w:history="1">
              <w:r w:rsidR="00940ED1" w:rsidRPr="001B2B13">
                <w:rPr>
                  <w:rStyle w:val="Hyperlink"/>
                </w:rPr>
                <w:t>Canadian Broadcast Standards Council</w:t>
              </w:r>
            </w:hyperlink>
            <w:r w:rsidR="001B2B13">
              <w:t xml:space="preserve"> (CBSC/CCNR)</w:t>
            </w:r>
            <w:r w:rsidR="00940ED1">
              <w:t>.</w:t>
            </w:r>
          </w:p>
          <w:p w14:paraId="08D2C79F" w14:textId="77777777" w:rsidR="00703A7B" w:rsidRDefault="00000000" w:rsidP="001B2B13">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hyperlink r:id="rId35" w:history="1">
              <w:r w:rsidR="00940ED1" w:rsidRPr="001B2B13">
                <w:rPr>
                  <w:rStyle w:val="Hyperlink"/>
                </w:rPr>
                <w:t>Advertising Standards—Canada</w:t>
              </w:r>
            </w:hyperlink>
            <w:r w:rsidR="00940ED1" w:rsidRPr="00940ED1">
              <w:t xml:space="preserve">. </w:t>
            </w:r>
          </w:p>
          <w:p w14:paraId="536D1816" w14:textId="4BCCA553" w:rsidR="00BE4FF7" w:rsidRPr="006E4E36" w:rsidRDefault="00000000" w:rsidP="001B2B13">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hyperlink r:id="rId36" w:history="1">
              <w:r w:rsidR="00BE4FF7" w:rsidRPr="00BE4FF7">
                <w:rPr>
                  <w:rStyle w:val="Hyperlink"/>
                </w:rPr>
                <w:t xml:space="preserve">National </w:t>
              </w:r>
              <w:proofErr w:type="spellStart"/>
              <w:r w:rsidR="00BE4FF7" w:rsidRPr="00BE4FF7">
                <w:rPr>
                  <w:rStyle w:val="Hyperlink"/>
                </w:rPr>
                <w:t>NewsMedia</w:t>
              </w:r>
              <w:proofErr w:type="spellEnd"/>
              <w:r w:rsidR="00BE4FF7" w:rsidRPr="00BE4FF7">
                <w:rPr>
                  <w:rStyle w:val="Hyperlink"/>
                </w:rPr>
                <w:t xml:space="preserve"> Council</w:t>
              </w:r>
            </w:hyperlink>
            <w:r w:rsidR="00BE4FF7" w:rsidRPr="00BE4FF7">
              <w:t xml:space="preserve"> (NNC)</w:t>
            </w:r>
            <w:r w:rsidR="00BE4FF7">
              <w:t>.</w:t>
            </w:r>
          </w:p>
        </w:tc>
      </w:tr>
      <w:tr w:rsidR="00703A7B" w:rsidRPr="006E4E36"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6E4E36" w:rsidRDefault="00703A7B" w:rsidP="00CB46D4">
            <w:pPr>
              <w:rPr>
                <w:color w:val="747474" w:themeColor="background2" w:themeShade="80"/>
              </w:rPr>
            </w:pPr>
            <w:r w:rsidRPr="006E4E36">
              <w:rPr>
                <w:color w:val="747474" w:themeColor="background2" w:themeShade="80"/>
              </w:rPr>
              <w:t>3.6</w:t>
            </w:r>
          </w:p>
        </w:tc>
        <w:tc>
          <w:tcPr>
            <w:tcW w:w="2126" w:type="dxa"/>
          </w:tcPr>
          <w:p w14:paraId="2D39B313" w14:textId="366BF0B1" w:rsidR="00703A7B" w:rsidRPr="006E4E36"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 xml:space="preserve">Regulatory Environment </w:t>
            </w:r>
            <w:r w:rsidRPr="006E4E36">
              <w:br/>
              <w:t>(2020-2025)</w:t>
            </w:r>
          </w:p>
        </w:tc>
        <w:tc>
          <w:tcPr>
            <w:tcW w:w="2127" w:type="dxa"/>
          </w:tcPr>
          <w:p w14:paraId="1997B732" w14:textId="77777777" w:rsidR="00703A7B" w:rsidRPr="006E4E36"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EED730C" w14:textId="20D82DD1" w:rsidR="002252E8" w:rsidRDefault="001B2B13" w:rsidP="00CB46D4">
            <w:pPr>
              <w:cnfStyle w:val="000000000000" w:firstRow="0" w:lastRow="0" w:firstColumn="0" w:lastColumn="0" w:oddVBand="0" w:evenVBand="0" w:oddHBand="0" w:evenHBand="0" w:firstRowFirstColumn="0" w:firstRowLastColumn="0" w:lastRowFirstColumn="0" w:lastRowLastColumn="0"/>
            </w:pPr>
            <w:r>
              <w:t>There is a s</w:t>
            </w:r>
            <w:r w:rsidRPr="001B2B13">
              <w:t xml:space="preserve">ignificant formal regulatory institutional framework and stable regulatory bodies, with recent and ongoing updates to </w:t>
            </w:r>
            <w:hyperlink r:id="rId37" w:history="1">
              <w:r w:rsidRPr="001B2B13">
                <w:rPr>
                  <w:rStyle w:val="Hyperlink"/>
                </w:rPr>
                <w:t>Broadcasting Act</w:t>
              </w:r>
            </w:hyperlink>
            <w:r w:rsidRPr="001B2B13">
              <w:t xml:space="preserve"> and a</w:t>
            </w:r>
            <w:r>
              <w:t xml:space="preserve"> new</w:t>
            </w:r>
            <w:r w:rsidRPr="001B2B13">
              <w:t xml:space="preserve"> bill on the table, </w:t>
            </w:r>
            <w:hyperlink r:id="rId38" w:history="1">
              <w:r w:rsidRPr="001B2B13">
                <w:rPr>
                  <w:rStyle w:val="Hyperlink"/>
                </w:rPr>
                <w:t>the Online News Act</w:t>
              </w:r>
            </w:hyperlink>
            <w:r w:rsidRPr="001B2B13">
              <w:t xml:space="preserve">, </w:t>
            </w:r>
            <w:r>
              <w:t>which</w:t>
            </w:r>
            <w:r w:rsidRPr="001B2B13">
              <w:t xml:space="preserve"> is similar to the </w:t>
            </w:r>
            <w:hyperlink r:id="rId39" w:history="1">
              <w:r w:rsidRPr="001B2B13">
                <w:rPr>
                  <w:rStyle w:val="Hyperlink"/>
                </w:rPr>
                <w:t>Australian News Media Bargaining Code</w:t>
              </w:r>
            </w:hyperlink>
            <w:r w:rsidRPr="001B2B13">
              <w:t>. However, regulatory resolve and political will is weak and inconsistent. That is an enduring characteristic</w:t>
            </w:r>
            <w:r w:rsidR="002252E8">
              <w:t xml:space="preserve"> of the Canadian media regulatory environment</w:t>
            </w:r>
            <w:r>
              <w:t xml:space="preserve"> (</w:t>
            </w:r>
            <w:proofErr w:type="spellStart"/>
            <w:r w:rsidRPr="001B2B13">
              <w:t>Winseck</w:t>
            </w:r>
            <w:proofErr w:type="spellEnd"/>
            <w:r w:rsidRPr="001B2B13">
              <w:t xml:space="preserve"> 202</w:t>
            </w:r>
            <w:r>
              <w:t xml:space="preserve">3). </w:t>
            </w:r>
          </w:p>
          <w:p w14:paraId="326EEC06" w14:textId="77777777" w:rsidR="002252E8" w:rsidRDefault="002252E8"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6C5BC417" w14:textId="6B34CEB3" w:rsidR="00703A7B" w:rsidRPr="006E4E36" w:rsidRDefault="002252E8" w:rsidP="00CB46D4">
            <w:pPr>
              <w:cnfStyle w:val="000000000000" w:firstRow="0" w:lastRow="0" w:firstColumn="0" w:lastColumn="0" w:oddVBand="0" w:evenVBand="0" w:oddHBand="0" w:evenHBand="0" w:firstRowFirstColumn="0" w:firstRowLastColumn="0" w:lastRowFirstColumn="0" w:lastRowLastColumn="0"/>
            </w:pPr>
            <w:r w:rsidRPr="002252E8">
              <w:rPr>
                <w:rStyle w:val="normaltextrun"/>
                <w:color w:val="000000"/>
                <w:shd w:val="clear" w:color="auto" w:fill="FFFFFF"/>
              </w:rPr>
              <w:t xml:space="preserve">The 2023 amendment to </w:t>
            </w:r>
            <w:hyperlink r:id="rId40" w:tgtFrame="_blank" w:history="1">
              <w:r w:rsidRPr="002252E8">
                <w:rPr>
                  <w:rStyle w:val="normaltextrun"/>
                  <w:color w:val="0563C1"/>
                  <w:u w:val="single"/>
                  <w:shd w:val="clear" w:color="auto" w:fill="FFFFFF"/>
                </w:rPr>
                <w:t>An Act to promote the efficiency and adaptability of the Canadian economy by regulating certain activities that discourage reliance on electronic means of carrying out commercial activities, and to amend the Canadian Radio-television and Telecommunications Commission Act, the Competition Act, the Personal Information Protection and Electronic Documents Act and the Telecommunications Act (S.C. 2010, c. 23)</w:t>
              </w:r>
            </w:hyperlink>
            <w:r w:rsidRPr="002252E8">
              <w:rPr>
                <w:rStyle w:val="normaltextrun"/>
                <w:color w:val="000000"/>
                <w:shd w:val="clear" w:color="auto" w:fill="FFFFFF"/>
              </w:rPr>
              <w:t xml:space="preserve"> triggered the revision of legislation affecting the communications regulatory landscape.</w:t>
            </w:r>
            <w:r>
              <w:rPr>
                <w:rStyle w:val="eop"/>
                <w:rFonts w:ascii="Calibri" w:hAnsi="Calibri" w:cs="Calibri"/>
                <w:color w:val="000000"/>
                <w:shd w:val="clear" w:color="auto" w:fill="FFFFFF"/>
              </w:rPr>
              <w:t> </w:t>
            </w:r>
          </w:p>
        </w:tc>
      </w:tr>
    </w:tbl>
    <w:p w14:paraId="43FBC9B1" w14:textId="77777777" w:rsidR="004F0B6F" w:rsidRPr="006E4E36" w:rsidRDefault="004F0B6F" w:rsidP="004F0B6F">
      <w:pPr>
        <w:pStyle w:val="SubtitleH2"/>
        <w:rPr>
          <w:rFonts w:eastAsiaTheme="minorEastAsia"/>
          <w:iCs/>
          <w:color w:val="000000" w:themeColor="text1"/>
          <w:sz w:val="24"/>
          <w:szCs w:val="24"/>
          <w:shd w:val="clear" w:color="auto" w:fill="auto"/>
        </w:rPr>
      </w:pPr>
      <w:r w:rsidRPr="006E4E36">
        <w:t>Sections 4-5 Advertising Framework</w:t>
      </w:r>
    </w:p>
    <w:p w14:paraId="06A0F993" w14:textId="3D10AE4E" w:rsidR="006C07EB" w:rsidRPr="006E4E36" w:rsidRDefault="005F3475" w:rsidP="00955813">
      <w:pPr>
        <w:pStyle w:val="SectionHead"/>
        <w:rPr>
          <w:rFonts w:cs="Arial"/>
        </w:rPr>
      </w:pPr>
      <w:bookmarkStart w:id="6" w:name="_Toc172573286"/>
      <w:r w:rsidRPr="006E4E36">
        <w:rPr>
          <w:rFonts w:cs="Arial"/>
        </w:rPr>
        <w:t>Advertising:  Legal and Regulatory Framework</w:t>
      </w:r>
      <w:bookmarkEnd w:id="6"/>
      <w:r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6E4E36"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6E4E36" w:rsidRDefault="006C07EB" w:rsidP="00CB46D4">
            <w:pPr>
              <w:pStyle w:val="Tableheadings"/>
              <w:spacing w:line="240" w:lineRule="auto"/>
              <w:rPr>
                <w:b/>
                <w:bCs/>
              </w:rPr>
            </w:pPr>
            <w:r w:rsidRPr="006E4E36">
              <w:rPr>
                <w:b/>
                <w:bCs/>
              </w:rPr>
              <w:t>Item</w:t>
            </w:r>
          </w:p>
        </w:tc>
        <w:tc>
          <w:tcPr>
            <w:tcW w:w="2126" w:type="dxa"/>
            <w:tcBorders>
              <w:bottom w:val="none" w:sz="0" w:space="0" w:color="auto"/>
            </w:tcBorders>
          </w:tcPr>
          <w:p w14:paraId="70CBE5FA" w14:textId="77777777" w:rsidR="006C07EB" w:rsidRPr="006E4E3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5942A5A0" w14:textId="77777777" w:rsidR="006C07EB" w:rsidRPr="006E4E3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70" w:type="dxa"/>
            <w:tcBorders>
              <w:bottom w:val="none" w:sz="0" w:space="0" w:color="auto"/>
            </w:tcBorders>
          </w:tcPr>
          <w:p w14:paraId="6CD8C410" w14:textId="77777777" w:rsidR="006C07EB" w:rsidRPr="006E4E36"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6C07EB" w:rsidRPr="006E4E36"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6E4E36" w:rsidRDefault="005F3475" w:rsidP="00CB46D4">
            <w:pPr>
              <w:rPr>
                <w:b w:val="0"/>
                <w:bCs w:val="0"/>
                <w:color w:val="747474" w:themeColor="background2" w:themeShade="80"/>
              </w:rPr>
            </w:pPr>
            <w:r w:rsidRPr="006E4E36">
              <w:rPr>
                <w:color w:val="747474" w:themeColor="background2" w:themeShade="80"/>
              </w:rPr>
              <w:t>4</w:t>
            </w:r>
            <w:r w:rsidR="006C07EB" w:rsidRPr="006E4E36">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6E4E36"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How is advertising regulated in [Country]?</w:t>
            </w:r>
          </w:p>
        </w:tc>
        <w:tc>
          <w:tcPr>
            <w:tcW w:w="2127" w:type="dxa"/>
            <w:tcBorders>
              <w:top w:val="none" w:sz="0" w:space="0" w:color="auto"/>
              <w:bottom w:val="none" w:sz="0" w:space="0" w:color="auto"/>
            </w:tcBorders>
          </w:tcPr>
          <w:p w14:paraId="03EF38DB" w14:textId="77777777" w:rsidR="006C07EB" w:rsidRPr="006E4E3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3AB254EC" w:rsidR="006C07EB" w:rsidRPr="006E4E36" w:rsidRDefault="002252E8" w:rsidP="002252E8">
            <w:pPr>
              <w:cnfStyle w:val="000000100000" w:firstRow="0" w:lastRow="0" w:firstColumn="0" w:lastColumn="0" w:oddVBand="0" w:evenVBand="0" w:oddHBand="1" w:evenHBand="0" w:firstRowFirstColumn="0" w:firstRowLastColumn="0" w:lastRowFirstColumn="0" w:lastRowLastColumn="0"/>
            </w:pPr>
            <w:r>
              <w:t>Canada regulates advertising on the federal and provincial levels</w:t>
            </w:r>
            <w:r w:rsidR="00941425">
              <w:t>, which involves consultation and cooperation described as ‘multilevel governance’</w:t>
            </w:r>
            <w:r>
              <w:t>, and through self-regulation (GALA 2024: 163</w:t>
            </w:r>
            <w:r w:rsidR="004D2156">
              <w:t xml:space="preserve">; </w:t>
            </w:r>
            <w:hyperlink r:id="rId41" w:history="1">
              <w:proofErr w:type="spellStart"/>
              <w:r w:rsidR="004D2156" w:rsidRPr="004D2156">
                <w:rPr>
                  <w:rStyle w:val="Hyperlink"/>
                </w:rPr>
                <w:t>Polaschek</w:t>
              </w:r>
              <w:proofErr w:type="spellEnd"/>
              <w:r w:rsidR="004D2156" w:rsidRPr="004D2156">
                <w:rPr>
                  <w:rStyle w:val="Hyperlink"/>
                </w:rPr>
                <w:t xml:space="preserve"> 2002</w:t>
              </w:r>
            </w:hyperlink>
            <w:r>
              <w:t xml:space="preserve">). </w:t>
            </w:r>
          </w:p>
        </w:tc>
      </w:tr>
      <w:tr w:rsidR="006C07EB" w:rsidRPr="006E4E36"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6E4E36" w:rsidRDefault="005F3475" w:rsidP="00CB46D4">
            <w:pPr>
              <w:rPr>
                <w:color w:val="3A3A3A" w:themeColor="background2" w:themeShade="40"/>
              </w:rPr>
            </w:pPr>
            <w:r w:rsidRPr="006E4E36">
              <w:rPr>
                <w:color w:val="747474" w:themeColor="background2" w:themeShade="80"/>
              </w:rPr>
              <w:t>4</w:t>
            </w:r>
            <w:r w:rsidR="006C07EB" w:rsidRPr="006E4E36">
              <w:rPr>
                <w:color w:val="747474" w:themeColor="background2" w:themeShade="80"/>
              </w:rPr>
              <w:t>.2</w:t>
            </w:r>
          </w:p>
        </w:tc>
        <w:tc>
          <w:tcPr>
            <w:tcW w:w="2126" w:type="dxa"/>
          </w:tcPr>
          <w:p w14:paraId="0A7E753E" w14:textId="3C8D51AE" w:rsidR="006C07EB" w:rsidRPr="006E4E36"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What types of communications are deemed ‘advertising’? How is this determined?</w:t>
            </w:r>
          </w:p>
        </w:tc>
        <w:tc>
          <w:tcPr>
            <w:tcW w:w="2127" w:type="dxa"/>
          </w:tcPr>
          <w:p w14:paraId="3064733D" w14:textId="77777777" w:rsidR="006C07EB" w:rsidRPr="006E4E36"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34AB21" w14:textId="5835DD4F" w:rsidR="006C07EB" w:rsidRDefault="00000000" w:rsidP="00CB46D4">
            <w:pPr>
              <w:cnfStyle w:val="000000000000" w:firstRow="0" w:lastRow="0" w:firstColumn="0" w:lastColumn="0" w:oddVBand="0" w:evenVBand="0" w:oddHBand="0" w:evenHBand="0" w:firstRowFirstColumn="0" w:firstRowLastColumn="0" w:lastRowFirstColumn="0" w:lastRowLastColumn="0"/>
            </w:pPr>
            <w:hyperlink r:id="rId42" w:history="1">
              <w:r w:rsidR="00182E18" w:rsidRPr="001B2B13">
                <w:rPr>
                  <w:rStyle w:val="Hyperlink"/>
                </w:rPr>
                <w:t>Advertising Standards—Canada</w:t>
              </w:r>
            </w:hyperlink>
            <w:r w:rsidR="00182E18">
              <w:t xml:space="preserve"> provides a definition of</w:t>
            </w:r>
            <w:r w:rsidR="00182E18" w:rsidRPr="00940ED1">
              <w:t xml:space="preserve"> </w:t>
            </w:r>
            <w:r w:rsidR="00182E18">
              <w:t>‘a</w:t>
            </w:r>
            <w:r w:rsidR="002252E8" w:rsidRPr="002252E8">
              <w:t>dvertising</w:t>
            </w:r>
            <w:r w:rsidR="00182E18">
              <w:t>’</w:t>
            </w:r>
            <w:r w:rsidR="002252E8" w:rsidRPr="002252E8">
              <w:t xml:space="preserve"> and </w:t>
            </w:r>
            <w:r w:rsidR="00182E18">
              <w:t>‘</w:t>
            </w:r>
            <w:r w:rsidR="002252E8" w:rsidRPr="002252E8">
              <w:t>advertisement(s)</w:t>
            </w:r>
            <w:r w:rsidR="00182E18">
              <w:t>’ in the</w:t>
            </w:r>
            <w:r w:rsidR="00182E18" w:rsidRPr="00182E18">
              <w:t xml:space="preserve"> </w:t>
            </w:r>
            <w:hyperlink r:id="rId43" w:history="1">
              <w:r w:rsidR="00182E18" w:rsidRPr="00182E18">
                <w:rPr>
                  <w:rStyle w:val="Hyperlink"/>
                </w:rPr>
                <w:t>Canadian Code of Advertising Standards</w:t>
              </w:r>
            </w:hyperlink>
            <w:r w:rsidR="00182E18">
              <w:t>, stating: ‘</w:t>
            </w:r>
            <w:r w:rsidR="002252E8" w:rsidRPr="002252E8">
              <w:t xml:space="preserve">any message (other than those excluded from the application of this Code), the content of which message is controlled directly or indirectly by the advertiser expressed in any language </w:t>
            </w:r>
            <w:r w:rsidR="002252E8" w:rsidRPr="002252E8">
              <w:lastRenderedPageBreak/>
              <w:t>and communicated in any medium (except those listed under Exclusions) to Canadians with the intent to influence their choice, opinion or behaviour</w:t>
            </w:r>
            <w:r w:rsidR="00182E18">
              <w:t>’ (</w:t>
            </w:r>
            <w:hyperlink r:id="rId44" w:history="1">
              <w:r w:rsidR="00182E18">
                <w:rPr>
                  <w:rStyle w:val="Hyperlink"/>
                </w:rPr>
                <w:t>Canadian A</w:t>
              </w:r>
              <w:r w:rsidR="00182E18" w:rsidRPr="00182E18">
                <w:rPr>
                  <w:rStyle w:val="Hyperlink"/>
                </w:rPr>
                <w:t>dvertising Standards 201</w:t>
              </w:r>
              <w:r w:rsidR="00F31387">
                <w:rPr>
                  <w:rStyle w:val="Hyperlink"/>
                </w:rPr>
                <w:t>9b</w:t>
              </w:r>
            </w:hyperlink>
            <w:r w:rsidR="00182E18">
              <w:t>)</w:t>
            </w:r>
            <w:r w:rsidR="002252E8" w:rsidRPr="002252E8">
              <w:t>.</w:t>
            </w:r>
          </w:p>
          <w:p w14:paraId="63B146E5" w14:textId="77777777" w:rsidR="00182E18" w:rsidRDefault="00182E18" w:rsidP="00CB46D4">
            <w:pPr>
              <w:cnfStyle w:val="000000000000" w:firstRow="0" w:lastRow="0" w:firstColumn="0" w:lastColumn="0" w:oddVBand="0" w:evenVBand="0" w:oddHBand="0" w:evenHBand="0" w:firstRowFirstColumn="0" w:firstRowLastColumn="0" w:lastRowFirstColumn="0" w:lastRowLastColumn="0"/>
            </w:pPr>
          </w:p>
          <w:p w14:paraId="49EE4852" w14:textId="77777777" w:rsidR="00182E18" w:rsidRPr="00182E18" w:rsidRDefault="00000000" w:rsidP="00182E18">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5" w:tgtFrame="_blank" w:history="1">
              <w:r w:rsidR="00182E18" w:rsidRPr="00182E18">
                <w:rPr>
                  <w:rFonts w:eastAsia="Times New Roman"/>
                  <w:color w:val="0563C1"/>
                  <w:u w:val="single"/>
                  <w:lang w:eastAsia="en-GB"/>
                </w:rPr>
                <w:t>An Act to promote the efficiency and adaptability of the Canadian economy by regulating certain activities that discourage reliance on electronic means of carrying out commercial activities, and to amend the Canadian Radio-television and Telecommunications Commission Act, the Competition Act, the Personal Information Protection and Electronic Documents Act and the Telecommunications Act (S.C. 2010, c. 23, as revised in 2023)</w:t>
              </w:r>
            </w:hyperlink>
            <w:r w:rsidR="00182E18" w:rsidRPr="00182E18">
              <w:rPr>
                <w:rFonts w:eastAsia="Times New Roman"/>
                <w:lang w:eastAsia="en-GB"/>
              </w:rPr>
              <w:t xml:space="preserve"> contains a definition of commercial electronic message, stating: </w:t>
            </w:r>
          </w:p>
          <w:p w14:paraId="55595DD6" w14:textId="74060B6D" w:rsidR="00182E18" w:rsidRPr="00182E18" w:rsidRDefault="00182E18" w:rsidP="00182E18">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82E18">
              <w:rPr>
                <w:rFonts w:eastAsia="Times New Roman"/>
                <w:lang w:eastAsia="en-GB"/>
              </w:rPr>
              <w:t>‘For the purposes of this Act, a commercial electronic message is an electronic message that, having regard to the content of the message, the hyperlinks in the message to content on a website or other database, or the contact information contained in the message, it would be reasonable to conclude has as its purpose, or one of its purposes, to encourage participation in a commercial activity, including an electronic message that </w:t>
            </w:r>
          </w:p>
          <w:p w14:paraId="6071B1BB" w14:textId="77777777" w:rsidR="00182E18" w:rsidRPr="00182E18" w:rsidRDefault="00182E18" w:rsidP="00182E18">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82E18">
              <w:rPr>
                <w:rFonts w:eastAsia="Times New Roman"/>
                <w:lang w:eastAsia="en-GB"/>
              </w:rPr>
              <w:t xml:space="preserve">(a) offers to purchase, sell, barter or lease a product, goods, a service, land or an interest or right in </w:t>
            </w:r>
            <w:proofErr w:type="gramStart"/>
            <w:r w:rsidRPr="00182E18">
              <w:rPr>
                <w:rFonts w:eastAsia="Times New Roman"/>
                <w:lang w:eastAsia="en-GB"/>
              </w:rPr>
              <w:t>land;</w:t>
            </w:r>
            <w:proofErr w:type="gramEnd"/>
            <w:r w:rsidRPr="00182E18">
              <w:rPr>
                <w:rFonts w:eastAsia="Times New Roman"/>
                <w:lang w:eastAsia="en-GB"/>
              </w:rPr>
              <w:t> </w:t>
            </w:r>
          </w:p>
          <w:p w14:paraId="04BC4EB8" w14:textId="77777777" w:rsidR="00182E18" w:rsidRPr="00182E18" w:rsidRDefault="00182E18" w:rsidP="00182E18">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82E18">
              <w:rPr>
                <w:rFonts w:eastAsia="Times New Roman"/>
                <w:lang w:eastAsia="en-GB"/>
              </w:rPr>
              <w:t xml:space="preserve">(b) offers to provide a business, investment or gaming </w:t>
            </w:r>
            <w:proofErr w:type="gramStart"/>
            <w:r w:rsidRPr="00182E18">
              <w:rPr>
                <w:rFonts w:eastAsia="Times New Roman"/>
                <w:lang w:eastAsia="en-GB"/>
              </w:rPr>
              <w:t>opportunity;</w:t>
            </w:r>
            <w:proofErr w:type="gramEnd"/>
            <w:r w:rsidRPr="00182E18">
              <w:rPr>
                <w:rFonts w:eastAsia="Times New Roman"/>
                <w:lang w:eastAsia="en-GB"/>
              </w:rPr>
              <w:t> </w:t>
            </w:r>
          </w:p>
          <w:p w14:paraId="47249F04" w14:textId="77777777" w:rsidR="00182E18" w:rsidRPr="00182E18" w:rsidRDefault="00182E18" w:rsidP="00182E18">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82E18">
              <w:rPr>
                <w:rFonts w:eastAsia="Times New Roman"/>
                <w:lang w:eastAsia="en-GB"/>
              </w:rPr>
              <w:t>(c) advertises or promotes anything referred to in paragraph (a) or (b); or </w:t>
            </w:r>
          </w:p>
          <w:p w14:paraId="18A5A8FB" w14:textId="781B0421" w:rsidR="00182E18" w:rsidRPr="00182E18" w:rsidRDefault="00182E18" w:rsidP="00182E18">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8"/>
                <w:szCs w:val="18"/>
                <w:lang w:eastAsia="en-GB"/>
              </w:rPr>
            </w:pPr>
            <w:r w:rsidRPr="00182E18">
              <w:rPr>
                <w:rFonts w:eastAsia="Times New Roman"/>
                <w:lang w:eastAsia="en-GB"/>
              </w:rPr>
              <w:t>(d) promotes a person, including the public image of a person, as being a person who does anything referred to in any of paragraphs (a) to (c), or who intends to do so.’</w:t>
            </w:r>
            <w:r w:rsidR="00941425">
              <w:rPr>
                <w:rFonts w:eastAsia="Times New Roman"/>
                <w:lang w:eastAsia="en-GB"/>
              </w:rPr>
              <w:t xml:space="preserve"> (</w:t>
            </w:r>
            <w:hyperlink r:id="rId46" w:tgtFrame="_blank" w:history="1">
              <w:r w:rsidR="00941425" w:rsidRPr="00182E18">
                <w:rPr>
                  <w:rFonts w:eastAsia="Times New Roman"/>
                  <w:color w:val="0563C1"/>
                  <w:u w:val="single"/>
                  <w:lang w:eastAsia="en-GB"/>
                </w:rPr>
                <w:t>An Act to promote the efficiency and adaptability of the Canadian economy by regulating certain activities that discourage reliance on electronic means of carrying out commercial activities, and to amend the Canadian Radio-television and Telecommunications Commission Act, the Competition Act, the Personal Information Protection and Electronic Documents Act and the Telecommunications Act (S.C. 2010, c. 23, as revised in 2023)</w:t>
              </w:r>
            </w:hyperlink>
            <w:r w:rsidR="00941425">
              <w:rPr>
                <w:rFonts w:eastAsia="Times New Roman"/>
                <w:lang w:eastAsia="en-GB"/>
              </w:rPr>
              <w:t>, 1(2)).</w:t>
            </w:r>
            <w:r w:rsidRPr="00182E18">
              <w:rPr>
                <w:rFonts w:ascii="Calibri" w:eastAsia="Times New Roman" w:hAnsi="Calibri" w:cs="Calibri"/>
                <w:lang w:eastAsia="en-GB"/>
              </w:rPr>
              <w:t> </w:t>
            </w:r>
          </w:p>
        </w:tc>
      </w:tr>
      <w:tr w:rsidR="006C07EB" w:rsidRPr="006E4E36"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6E4E36" w:rsidRDefault="005F3475" w:rsidP="00CB46D4">
            <w:pPr>
              <w:rPr>
                <w:color w:val="747474" w:themeColor="background2" w:themeShade="80"/>
              </w:rPr>
            </w:pPr>
            <w:r w:rsidRPr="006E4E36">
              <w:rPr>
                <w:color w:val="747474" w:themeColor="background2" w:themeShade="80"/>
              </w:rPr>
              <w:t>4</w:t>
            </w:r>
            <w:r w:rsidR="006C07EB" w:rsidRPr="006E4E36">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6E4E36"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6E4E3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72D3AE4C" w:rsidR="006C07EB" w:rsidRPr="006E4E36" w:rsidRDefault="00941425" w:rsidP="00CB46D4">
            <w:pPr>
              <w:cnfStyle w:val="000000100000" w:firstRow="0" w:lastRow="0" w:firstColumn="0" w:lastColumn="0" w:oddVBand="0" w:evenVBand="0" w:oddHBand="1" w:evenHBand="0" w:firstRowFirstColumn="0" w:firstRowLastColumn="0" w:lastRowFirstColumn="0" w:lastRowLastColumn="0"/>
            </w:pPr>
            <w:r w:rsidRPr="00941425">
              <w:t xml:space="preserve">Yes, there is a general definition, please see </w:t>
            </w:r>
            <w:r w:rsidRPr="00941425">
              <w:rPr>
                <w:b/>
                <w:bCs/>
              </w:rPr>
              <w:t>4.2</w:t>
            </w:r>
            <w:r w:rsidRPr="00941425">
              <w:t>.</w:t>
            </w:r>
          </w:p>
        </w:tc>
      </w:tr>
      <w:tr w:rsidR="006C07EB" w:rsidRPr="006E4E36"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6E4E36" w:rsidRDefault="005F3475" w:rsidP="00CB46D4">
            <w:pPr>
              <w:rPr>
                <w:color w:val="747474" w:themeColor="background2" w:themeShade="80"/>
              </w:rPr>
            </w:pPr>
            <w:r w:rsidRPr="006E4E36">
              <w:rPr>
                <w:color w:val="747474" w:themeColor="background2" w:themeShade="80"/>
              </w:rPr>
              <w:t>4</w:t>
            </w:r>
            <w:r w:rsidR="006C07EB" w:rsidRPr="006E4E36">
              <w:rPr>
                <w:color w:val="747474" w:themeColor="background2" w:themeShade="80"/>
              </w:rPr>
              <w:t>.4</w:t>
            </w:r>
          </w:p>
        </w:tc>
        <w:tc>
          <w:tcPr>
            <w:tcW w:w="2126" w:type="dxa"/>
          </w:tcPr>
          <w:p w14:paraId="3F0D9FC6" w14:textId="5CF41791" w:rsidR="006C07EB" w:rsidRPr="006E4E36"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Supranational law</w:t>
            </w:r>
          </w:p>
        </w:tc>
        <w:tc>
          <w:tcPr>
            <w:tcW w:w="2127" w:type="dxa"/>
          </w:tcPr>
          <w:p w14:paraId="08B751B0" w14:textId="77777777" w:rsidR="006C07EB" w:rsidRPr="006E4E36"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C58FD8" w14:textId="14A8F006" w:rsidR="006C07EB" w:rsidRPr="006E4E36" w:rsidRDefault="004D2156" w:rsidP="0019378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Canada</w:t>
            </w:r>
            <w:r w:rsidRPr="004D2156">
              <w:rPr>
                <w:rFonts w:ascii="Arial" w:hAnsi="Arial" w:cs="Arial"/>
                <w:sz w:val="22"/>
                <w:szCs w:val="22"/>
              </w:rPr>
              <w:t xml:space="preserve"> does not participate in any supranational legal systems in the same way that the European Union (EU) member states do, which means it does not cede judicial authority to a common tribunal, but it does have multiple </w:t>
            </w:r>
            <w:r w:rsidRPr="004D2156">
              <w:rPr>
                <w:rFonts w:ascii="Arial" w:hAnsi="Arial" w:cs="Arial"/>
                <w:sz w:val="22"/>
                <w:szCs w:val="22"/>
              </w:rPr>
              <w:lastRenderedPageBreak/>
              <w:t>supranational agreements (</w:t>
            </w:r>
            <w:proofErr w:type="spellStart"/>
            <w:r w:rsidRPr="004D2156">
              <w:rPr>
                <w:rFonts w:ascii="Arial" w:hAnsi="Arial" w:cs="Arial"/>
                <w:sz w:val="22"/>
                <w:szCs w:val="22"/>
              </w:rPr>
              <w:fldChar w:fldCharType="begin"/>
            </w:r>
            <w:r w:rsidRPr="004D2156">
              <w:rPr>
                <w:rFonts w:ascii="Arial" w:hAnsi="Arial" w:cs="Arial"/>
                <w:sz w:val="22"/>
                <w:szCs w:val="22"/>
              </w:rPr>
              <w:instrText xml:space="preserve"> HYPERLINK "https://forumfed.org/document/implementation-of-international-and-supra-national-law-by-sub-national-units/" </w:instrText>
            </w:r>
            <w:r w:rsidRPr="004D2156">
              <w:rPr>
                <w:rFonts w:ascii="Arial" w:hAnsi="Arial" w:cs="Arial"/>
                <w:sz w:val="22"/>
                <w:szCs w:val="22"/>
              </w:rPr>
            </w:r>
            <w:r w:rsidRPr="004D2156">
              <w:rPr>
                <w:rFonts w:ascii="Arial" w:hAnsi="Arial" w:cs="Arial"/>
                <w:sz w:val="22"/>
                <w:szCs w:val="22"/>
              </w:rPr>
              <w:fldChar w:fldCharType="separate"/>
            </w:r>
            <w:r w:rsidRPr="004D2156">
              <w:rPr>
                <w:rStyle w:val="Hyperlink"/>
                <w:rFonts w:ascii="Arial" w:hAnsi="Arial" w:cs="Arial"/>
                <w:sz w:val="22"/>
                <w:szCs w:val="22"/>
              </w:rPr>
              <w:t>Polaschek</w:t>
            </w:r>
            <w:proofErr w:type="spellEnd"/>
            <w:r w:rsidRPr="004D2156">
              <w:rPr>
                <w:rStyle w:val="Hyperlink"/>
                <w:rFonts w:ascii="Arial" w:hAnsi="Arial" w:cs="Arial"/>
                <w:sz w:val="22"/>
                <w:szCs w:val="22"/>
              </w:rPr>
              <w:t xml:space="preserve"> 2002</w:t>
            </w:r>
            <w:r w:rsidRPr="004D2156">
              <w:rPr>
                <w:rFonts w:ascii="Arial" w:hAnsi="Arial" w:cs="Arial"/>
                <w:sz w:val="22"/>
                <w:szCs w:val="22"/>
              </w:rPr>
              <w:fldChar w:fldCharType="end"/>
            </w:r>
            <w:r w:rsidRPr="004D2156">
              <w:rPr>
                <w:rFonts w:ascii="Arial" w:hAnsi="Arial" w:cs="Arial"/>
                <w:sz w:val="22"/>
                <w:szCs w:val="22"/>
              </w:rPr>
              <w:t xml:space="preserve">). For more information, please see </w:t>
            </w:r>
            <w:r w:rsidRPr="004D2156">
              <w:rPr>
                <w:rFonts w:ascii="Arial" w:hAnsi="Arial" w:cs="Arial"/>
                <w:b/>
                <w:bCs/>
                <w:sz w:val="22"/>
                <w:szCs w:val="22"/>
              </w:rPr>
              <w:t>3.1</w:t>
            </w:r>
            <w:r w:rsidRPr="004D2156">
              <w:rPr>
                <w:rFonts w:ascii="Arial" w:hAnsi="Arial" w:cs="Arial"/>
                <w:sz w:val="22"/>
                <w:szCs w:val="22"/>
              </w:rPr>
              <w:t>.</w:t>
            </w:r>
          </w:p>
        </w:tc>
      </w:tr>
      <w:tr w:rsidR="006C07EB" w:rsidRPr="006E4E36"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6E4E36" w:rsidRDefault="004239C6" w:rsidP="00CB46D4">
            <w:pPr>
              <w:rPr>
                <w:color w:val="747474" w:themeColor="background2" w:themeShade="80"/>
              </w:rPr>
            </w:pPr>
            <w:r w:rsidRPr="006E4E36">
              <w:rPr>
                <w:color w:val="747474" w:themeColor="background2" w:themeShade="80"/>
              </w:rPr>
              <w:t>4</w:t>
            </w:r>
            <w:r w:rsidR="006C07EB" w:rsidRPr="006E4E36">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6E4E36"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Major legislation</w:t>
            </w:r>
          </w:p>
        </w:tc>
        <w:tc>
          <w:tcPr>
            <w:tcW w:w="2127" w:type="dxa"/>
            <w:tcBorders>
              <w:top w:val="none" w:sz="0" w:space="0" w:color="auto"/>
              <w:bottom w:val="none" w:sz="0" w:space="0" w:color="auto"/>
            </w:tcBorders>
          </w:tcPr>
          <w:p w14:paraId="2AEA1967" w14:textId="77777777" w:rsidR="006C07EB" w:rsidRPr="006E4E36"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9F6F0E0" w14:textId="0A215883" w:rsidR="004D2156" w:rsidRPr="004D2156" w:rsidRDefault="00000000" w:rsidP="004D2156">
            <w:pPr>
              <w:pStyle w:val="paragraph"/>
              <w:numPr>
                <w:ilvl w:val="0"/>
                <w:numId w:val="2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47" w:tgtFrame="_blank" w:history="1">
              <w:r w:rsidR="004D2156" w:rsidRPr="004D2156">
                <w:rPr>
                  <w:rStyle w:val="normaltextrun"/>
                  <w:rFonts w:ascii="Arial" w:eastAsiaTheme="majorEastAsia" w:hAnsi="Arial" w:cs="Arial"/>
                  <w:color w:val="0563C1"/>
                  <w:sz w:val="22"/>
                  <w:szCs w:val="22"/>
                  <w:u w:val="single"/>
                </w:rPr>
                <w:t>The Competition Act</w:t>
              </w:r>
            </w:hyperlink>
            <w:r w:rsidR="004D2156" w:rsidRPr="004D2156">
              <w:rPr>
                <w:rStyle w:val="normaltextrun"/>
                <w:rFonts w:ascii="Arial" w:eastAsiaTheme="majorEastAsia" w:hAnsi="Arial" w:cs="Arial"/>
                <w:sz w:val="22"/>
                <w:szCs w:val="22"/>
              </w:rPr>
              <w:t xml:space="preserve"> (R.S.C., 1985, c. C-34, as revised in 2023) (governs misleading representations).</w:t>
            </w:r>
            <w:r w:rsidR="004D2156" w:rsidRPr="004D2156">
              <w:rPr>
                <w:rStyle w:val="eop"/>
                <w:rFonts w:ascii="Arial" w:eastAsiaTheme="majorEastAsia" w:hAnsi="Arial" w:cs="Arial"/>
                <w:sz w:val="22"/>
                <w:szCs w:val="22"/>
              </w:rPr>
              <w:t> </w:t>
            </w:r>
          </w:p>
          <w:p w14:paraId="406E8177" w14:textId="7A62CC5C" w:rsidR="004D2156" w:rsidRPr="004D2156" w:rsidRDefault="00000000" w:rsidP="004D2156">
            <w:pPr>
              <w:pStyle w:val="paragraph"/>
              <w:numPr>
                <w:ilvl w:val="0"/>
                <w:numId w:val="2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hyperlink r:id="rId48" w:tgtFrame="_blank" w:history="1">
              <w:r w:rsidR="004D2156" w:rsidRPr="004D2156">
                <w:rPr>
                  <w:rStyle w:val="normaltextrun"/>
                  <w:rFonts w:ascii="Arial" w:eastAsiaTheme="majorEastAsia" w:hAnsi="Arial" w:cs="Arial"/>
                  <w:color w:val="0563C1"/>
                  <w:sz w:val="22"/>
                  <w:szCs w:val="22"/>
                  <w:u w:val="single"/>
                </w:rPr>
                <w:t>The Copyright Act</w:t>
              </w:r>
            </w:hyperlink>
            <w:r w:rsidR="004D2156" w:rsidRPr="004D2156">
              <w:rPr>
                <w:rStyle w:val="normaltextrun"/>
                <w:rFonts w:ascii="Arial" w:eastAsiaTheme="majorEastAsia" w:hAnsi="Arial" w:cs="Arial"/>
                <w:sz w:val="22"/>
                <w:szCs w:val="22"/>
              </w:rPr>
              <w:t xml:space="preserve"> (R.S.C. 1985, c. C-42, as revised in 2023).</w:t>
            </w:r>
            <w:r w:rsidR="004D2156" w:rsidRPr="004D2156">
              <w:rPr>
                <w:rStyle w:val="eop"/>
                <w:rFonts w:ascii="Arial" w:eastAsiaTheme="majorEastAsia" w:hAnsi="Arial" w:cs="Arial"/>
                <w:sz w:val="22"/>
                <w:szCs w:val="22"/>
              </w:rPr>
              <w:t> </w:t>
            </w:r>
          </w:p>
          <w:p w14:paraId="68CCAE46" w14:textId="797F4E32" w:rsidR="00940ED1" w:rsidRPr="003D30DB" w:rsidRDefault="00000000" w:rsidP="004D2156">
            <w:pPr>
              <w:pStyle w:val="paragraph"/>
              <w:numPr>
                <w:ilvl w:val="0"/>
                <w:numId w:val="2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r:id="rId49" w:history="1">
              <w:r w:rsidR="00940ED1" w:rsidRPr="00940ED1">
                <w:rPr>
                  <w:rStyle w:val="Hyperlink"/>
                  <w:rFonts w:ascii="Arial" w:eastAsiaTheme="majorEastAsia" w:hAnsi="Arial" w:cs="Arial"/>
                  <w:sz w:val="22"/>
                  <w:szCs w:val="22"/>
                </w:rPr>
                <w:t>Broadcasting Act</w:t>
              </w:r>
            </w:hyperlink>
            <w:r w:rsidR="00940ED1" w:rsidRPr="00940ED1">
              <w:rPr>
                <w:rStyle w:val="normaltextrun"/>
                <w:rFonts w:ascii="Arial" w:eastAsiaTheme="majorEastAsia" w:hAnsi="Arial" w:cs="Arial"/>
                <w:sz w:val="22"/>
                <w:szCs w:val="22"/>
              </w:rPr>
              <w:t xml:space="preserve"> (1991, as revised in 2023). </w:t>
            </w:r>
            <w:r w:rsidR="00940ED1">
              <w:rPr>
                <w:rStyle w:val="normaltextrun"/>
                <w:rFonts w:ascii="Arial" w:eastAsiaTheme="majorEastAsia" w:hAnsi="Arial" w:cs="Arial"/>
                <w:sz w:val="22"/>
                <w:szCs w:val="22"/>
              </w:rPr>
              <w:t xml:space="preserve">(only </w:t>
            </w:r>
            <w:r w:rsidR="00940ED1" w:rsidRPr="00940ED1">
              <w:rPr>
                <w:rStyle w:val="normaltextrun"/>
                <w:rFonts w:ascii="Arial" w:eastAsiaTheme="majorEastAsia" w:hAnsi="Arial" w:cs="Arial"/>
                <w:sz w:val="22"/>
                <w:szCs w:val="22"/>
              </w:rPr>
              <w:t>mentions advertising in 10(1)(e) and 10(1)(d) to discuss the limits of advertising broadcasting time</w:t>
            </w:r>
            <w:r w:rsidR="00940ED1">
              <w:rPr>
                <w:rStyle w:val="normaltextrun"/>
                <w:rFonts w:ascii="Arial" w:eastAsiaTheme="majorEastAsia" w:hAnsi="Arial" w:cs="Arial"/>
                <w:sz w:val="22"/>
                <w:szCs w:val="22"/>
              </w:rPr>
              <w:t>)</w:t>
            </w:r>
            <w:r w:rsidR="004D2156">
              <w:rPr>
                <w:rStyle w:val="normaltextrun"/>
                <w:rFonts w:ascii="Arial" w:eastAsiaTheme="majorEastAsia" w:hAnsi="Arial" w:cs="Arial"/>
                <w:sz w:val="22"/>
                <w:szCs w:val="22"/>
              </w:rPr>
              <w:t>.</w:t>
            </w:r>
            <w:r w:rsidR="00940ED1" w:rsidRPr="00940ED1">
              <w:rPr>
                <w:rStyle w:val="eop"/>
                <w:rFonts w:ascii="Arial" w:eastAsiaTheme="majorEastAsia" w:hAnsi="Arial" w:cs="Arial"/>
                <w:sz w:val="22"/>
                <w:szCs w:val="22"/>
              </w:rPr>
              <w:t> </w:t>
            </w:r>
          </w:p>
          <w:p w14:paraId="23E7DDCF" w14:textId="19B354E6" w:rsidR="003D30DB" w:rsidRPr="005C75B4" w:rsidRDefault="00000000" w:rsidP="004D2156">
            <w:pPr>
              <w:pStyle w:val="paragraph"/>
              <w:numPr>
                <w:ilvl w:val="0"/>
                <w:numId w:val="2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r:id="rId50" w:history="1">
              <w:r w:rsidR="00636AB6" w:rsidRPr="00636AB6">
                <w:rPr>
                  <w:rStyle w:val="Hyperlink"/>
                  <w:rFonts w:ascii="Arial" w:hAnsi="Arial" w:cs="Arial"/>
                  <w:sz w:val="22"/>
                  <w:szCs w:val="22"/>
                </w:rPr>
                <w:t>Canada’s Anti-Spam Legislation</w:t>
              </w:r>
            </w:hyperlink>
            <w:r w:rsidR="00636AB6" w:rsidRPr="00636AB6">
              <w:rPr>
                <w:rStyle w:val="eop"/>
                <w:rFonts w:ascii="Arial" w:hAnsi="Arial" w:cs="Arial"/>
                <w:sz w:val="22"/>
                <w:szCs w:val="22"/>
              </w:rPr>
              <w:t xml:space="preserve"> (CASL)</w:t>
            </w:r>
            <w:r w:rsidR="00636AB6">
              <w:rPr>
                <w:rStyle w:val="eop"/>
                <w:rFonts w:ascii="Arial" w:hAnsi="Arial" w:cs="Arial"/>
                <w:sz w:val="22"/>
                <w:szCs w:val="22"/>
              </w:rPr>
              <w:t>.</w:t>
            </w:r>
          </w:p>
          <w:p w14:paraId="71DD459A" w14:textId="00AD9144" w:rsidR="006C07EB" w:rsidRPr="00636AB6" w:rsidRDefault="005C75B4" w:rsidP="00CB46D4">
            <w:pPr>
              <w:pStyle w:val="paragraph"/>
              <w:numPr>
                <w:ilvl w:val="0"/>
                <w:numId w:val="29"/>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 xml:space="preserve">There are </w:t>
            </w:r>
            <w:r w:rsidRPr="005C75B4">
              <w:rPr>
                <w:rFonts w:ascii="Arial" w:hAnsi="Arial" w:cs="Arial"/>
                <w:sz w:val="22"/>
                <w:szCs w:val="22"/>
              </w:rPr>
              <w:t>consumer protection laws that regulate advertising</w:t>
            </w:r>
            <w:r>
              <w:rPr>
                <w:rFonts w:ascii="Arial" w:hAnsi="Arial" w:cs="Arial"/>
                <w:sz w:val="22"/>
                <w:szCs w:val="22"/>
              </w:rPr>
              <w:t>, which are unique for each Canadian</w:t>
            </w:r>
            <w:r w:rsidRPr="005C75B4">
              <w:rPr>
                <w:rFonts w:ascii="Arial" w:hAnsi="Arial" w:cs="Arial"/>
                <w:sz w:val="22"/>
                <w:szCs w:val="22"/>
              </w:rPr>
              <w:t xml:space="preserve"> province and territor</w:t>
            </w:r>
            <w:r>
              <w:rPr>
                <w:rFonts w:ascii="Arial" w:hAnsi="Arial" w:cs="Arial"/>
                <w:sz w:val="22"/>
                <w:szCs w:val="22"/>
              </w:rPr>
              <w:t>y</w:t>
            </w:r>
            <w:r w:rsidRPr="005C75B4">
              <w:rPr>
                <w:rFonts w:ascii="Arial" w:hAnsi="Arial" w:cs="Arial"/>
                <w:sz w:val="22"/>
                <w:szCs w:val="22"/>
              </w:rPr>
              <w:t xml:space="preserve">. </w:t>
            </w:r>
            <w:hyperlink r:id="rId51" w:history="1">
              <w:r w:rsidRPr="003D30DB">
                <w:rPr>
                  <w:rStyle w:val="Hyperlink"/>
                  <w:rFonts w:ascii="Arial" w:hAnsi="Arial" w:cs="Arial"/>
                  <w:sz w:val="22"/>
                  <w:szCs w:val="22"/>
                </w:rPr>
                <w:t>Québec's Consumer Protection Act</w:t>
              </w:r>
            </w:hyperlink>
            <w:r>
              <w:rPr>
                <w:rFonts w:ascii="Arial" w:hAnsi="Arial" w:cs="Arial"/>
                <w:sz w:val="22"/>
                <w:szCs w:val="22"/>
              </w:rPr>
              <w:t xml:space="preserve"> is a notable example of such legislation (</w:t>
            </w:r>
            <w:proofErr w:type="spellStart"/>
            <w:r w:rsidR="003D30DB">
              <w:rPr>
                <w:rFonts w:ascii="Arial" w:hAnsi="Arial" w:cs="Arial"/>
                <w:sz w:val="22"/>
                <w:szCs w:val="22"/>
              </w:rPr>
              <w:fldChar w:fldCharType="begin"/>
            </w:r>
            <w:r w:rsidR="003D30DB">
              <w:rPr>
                <w:rFonts w:ascii="Arial" w:hAnsi="Arial" w:cs="Arial"/>
                <w:sz w:val="22"/>
                <w:szCs w:val="22"/>
              </w:rPr>
              <w:instrText xml:space="preserve"> HYPERLINK "https://gowlingwlg.com/en/insights-resources/guides/2023/doing-business-in-canada-advertising/" </w:instrText>
            </w:r>
            <w:r w:rsidR="003D30DB">
              <w:rPr>
                <w:rFonts w:ascii="Arial" w:hAnsi="Arial" w:cs="Arial"/>
                <w:sz w:val="22"/>
                <w:szCs w:val="22"/>
              </w:rPr>
            </w:r>
            <w:r w:rsidR="003D30DB">
              <w:rPr>
                <w:rFonts w:ascii="Arial" w:hAnsi="Arial" w:cs="Arial"/>
                <w:sz w:val="22"/>
                <w:szCs w:val="22"/>
              </w:rPr>
              <w:fldChar w:fldCharType="separate"/>
            </w:r>
            <w:r w:rsidRPr="003D30DB">
              <w:rPr>
                <w:rStyle w:val="Hyperlink"/>
                <w:rFonts w:ascii="Arial" w:hAnsi="Arial" w:cs="Arial"/>
                <w:sz w:val="22"/>
                <w:szCs w:val="22"/>
              </w:rPr>
              <w:t>Gowling</w:t>
            </w:r>
            <w:proofErr w:type="spellEnd"/>
            <w:r w:rsidRPr="003D30DB">
              <w:rPr>
                <w:rStyle w:val="Hyperlink"/>
                <w:rFonts w:ascii="Arial" w:hAnsi="Arial" w:cs="Arial"/>
                <w:sz w:val="22"/>
                <w:szCs w:val="22"/>
              </w:rPr>
              <w:t xml:space="preserve"> WLG 2023</w:t>
            </w:r>
            <w:r w:rsidR="003D30DB">
              <w:rPr>
                <w:rFonts w:ascii="Arial" w:hAnsi="Arial" w:cs="Arial"/>
                <w:sz w:val="22"/>
                <w:szCs w:val="22"/>
              </w:rPr>
              <w:fldChar w:fldCharType="end"/>
            </w:r>
            <w:r w:rsidRPr="005C75B4">
              <w:rPr>
                <w:rFonts w:ascii="Arial" w:hAnsi="Arial" w:cs="Arial"/>
                <w:sz w:val="22"/>
                <w:szCs w:val="22"/>
              </w:rPr>
              <w:t>).</w:t>
            </w:r>
          </w:p>
        </w:tc>
      </w:tr>
      <w:tr w:rsidR="005F3475" w:rsidRPr="006E4E36"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6E4E36" w:rsidRDefault="004239C6" w:rsidP="00CB46D4">
            <w:pPr>
              <w:rPr>
                <w:color w:val="747474" w:themeColor="background2" w:themeShade="80"/>
              </w:rPr>
            </w:pPr>
            <w:r w:rsidRPr="006E4E36">
              <w:rPr>
                <w:color w:val="747474" w:themeColor="background2" w:themeShade="80"/>
              </w:rPr>
              <w:t>4.6</w:t>
            </w:r>
          </w:p>
        </w:tc>
        <w:tc>
          <w:tcPr>
            <w:tcW w:w="2126" w:type="dxa"/>
          </w:tcPr>
          <w:p w14:paraId="05053392" w14:textId="504551E3" w:rsidR="005F3475" w:rsidRPr="006E4E36"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Regulatory Authorities</w:t>
            </w:r>
          </w:p>
        </w:tc>
        <w:tc>
          <w:tcPr>
            <w:tcW w:w="2127" w:type="dxa"/>
          </w:tcPr>
          <w:p w14:paraId="3398227C" w14:textId="77777777" w:rsidR="005F3475" w:rsidRPr="006E4E3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2BE98F8" w14:textId="77777777" w:rsidR="005F3475" w:rsidRPr="00832B98" w:rsidRDefault="00000000" w:rsidP="00636AB6">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hyperlink r:id="rId52" w:history="1">
              <w:r w:rsidR="00636AB6" w:rsidRPr="00832B98">
                <w:rPr>
                  <w:rStyle w:val="Hyperlink"/>
                </w:rPr>
                <w:t>The Competition Bureau</w:t>
              </w:r>
            </w:hyperlink>
            <w:r w:rsidR="00636AB6" w:rsidRPr="00832B98">
              <w:t xml:space="preserve"> is an independent law enforcement agency, which is responsible for promoting competition and protecting Canadian consumers and businesses (</w:t>
            </w:r>
            <w:hyperlink r:id="rId53" w:history="1">
              <w:r w:rsidR="00636AB6" w:rsidRPr="00832B98">
                <w:rPr>
                  <w:rStyle w:val="Hyperlink"/>
                </w:rPr>
                <w:t>The Competition Bureau n.d.</w:t>
              </w:r>
            </w:hyperlink>
            <w:r w:rsidR="00636AB6" w:rsidRPr="00832B98">
              <w:t xml:space="preserve">). </w:t>
            </w:r>
          </w:p>
          <w:p w14:paraId="4E5AF86B" w14:textId="77777777" w:rsidR="00636AB6" w:rsidRPr="00832B98" w:rsidRDefault="00636AB6" w:rsidP="00636AB6">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832B98">
              <w:t xml:space="preserve">Provincial and Territorial Ministries (for example: </w:t>
            </w:r>
            <w:r w:rsidR="00832B98" w:rsidRPr="00832B98">
              <w:t xml:space="preserve">Québec's </w:t>
            </w:r>
            <w:hyperlink r:id="rId54" w:history="1">
              <w:r w:rsidRPr="00832B98">
                <w:rPr>
                  <w:rStyle w:val="Hyperlink"/>
                </w:rPr>
                <w:t xml:space="preserve">Office de la protection du </w:t>
              </w:r>
              <w:proofErr w:type="spellStart"/>
              <w:r w:rsidRPr="00832B98">
                <w:rPr>
                  <w:rStyle w:val="Hyperlink"/>
                </w:rPr>
                <w:t>consommateur</w:t>
              </w:r>
              <w:proofErr w:type="spellEnd"/>
            </w:hyperlink>
            <w:r w:rsidR="00832B98" w:rsidRPr="00832B98">
              <w:t xml:space="preserve">, or the Consumer Office). </w:t>
            </w:r>
          </w:p>
          <w:p w14:paraId="6E6FBC98" w14:textId="2B297E3B" w:rsidR="00832B98" w:rsidRPr="006E4E36" w:rsidRDefault="00832B98" w:rsidP="00636AB6">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832B98">
              <w:t xml:space="preserve">Industry-Specific Regulators (for example: Health Canada, the Canadian Food Inspection Agency (CFIA), the Financial Consumer Agency of Canada and the Canadian Transportation Agency) </w:t>
            </w:r>
            <w:r w:rsidRPr="00832B98">
              <w:rPr>
                <w:rStyle w:val="normaltextrun"/>
                <w:color w:val="000000"/>
                <w:shd w:val="clear" w:color="auto" w:fill="FFFFFF"/>
              </w:rPr>
              <w:t>(</w:t>
            </w:r>
            <w:hyperlink r:id="rId55" w:tgtFrame="_blank" w:history="1">
              <w:r w:rsidRPr="00832B98">
                <w:rPr>
                  <w:rStyle w:val="normaltextrun"/>
                  <w:color w:val="0563C1"/>
                  <w:u w:val="single"/>
                  <w:shd w:val="clear" w:color="auto" w:fill="FFFFFF"/>
                </w:rPr>
                <w:t xml:space="preserve">Reive, Brooks, </w:t>
              </w:r>
              <w:proofErr w:type="spellStart"/>
              <w:r w:rsidRPr="00832B98">
                <w:rPr>
                  <w:rStyle w:val="normaltextrun"/>
                  <w:color w:val="0563C1"/>
                  <w:u w:val="single"/>
                  <w:shd w:val="clear" w:color="auto" w:fill="FFFFFF"/>
                </w:rPr>
                <w:t>Ajami</w:t>
              </w:r>
              <w:proofErr w:type="spellEnd"/>
              <w:r w:rsidRPr="00832B98">
                <w:rPr>
                  <w:rStyle w:val="normaltextrun"/>
                  <w:color w:val="0563C1"/>
                  <w:u w:val="single"/>
                  <w:shd w:val="clear" w:color="auto" w:fill="FFFFFF"/>
                </w:rPr>
                <w:t xml:space="preserve">, </w:t>
              </w:r>
              <w:proofErr w:type="spellStart"/>
              <w:r w:rsidRPr="00832B98">
                <w:rPr>
                  <w:rStyle w:val="normaltextrun"/>
                  <w:color w:val="0563C1"/>
                  <w:u w:val="single"/>
                  <w:shd w:val="clear" w:color="auto" w:fill="FFFFFF"/>
                </w:rPr>
                <w:t>Ricioppo</w:t>
              </w:r>
              <w:proofErr w:type="spellEnd"/>
              <w:r w:rsidRPr="00832B98">
                <w:rPr>
                  <w:rStyle w:val="normaltextrun"/>
                  <w:color w:val="0563C1"/>
                  <w:u w:val="single"/>
                  <w:shd w:val="clear" w:color="auto" w:fill="FFFFFF"/>
                </w:rPr>
                <w:t xml:space="preserve"> 2023</w:t>
              </w:r>
            </w:hyperlink>
            <w:r w:rsidRPr="00832B98">
              <w:rPr>
                <w:rStyle w:val="normaltextrun"/>
                <w:color w:val="000000"/>
                <w:shd w:val="clear" w:color="auto" w:fill="FFFFFF"/>
              </w:rPr>
              <w:t>)</w:t>
            </w:r>
            <w:r w:rsidRPr="00832B98">
              <w:t>.</w:t>
            </w:r>
          </w:p>
        </w:tc>
      </w:tr>
      <w:tr w:rsidR="005F3475" w:rsidRPr="006E4E36"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6E4E36" w:rsidRDefault="004239C6" w:rsidP="00CB46D4">
            <w:pPr>
              <w:rPr>
                <w:color w:val="747474" w:themeColor="background2" w:themeShade="80"/>
              </w:rPr>
            </w:pPr>
            <w:r w:rsidRPr="006E4E36">
              <w:rPr>
                <w:color w:val="747474" w:themeColor="background2" w:themeShade="80"/>
              </w:rPr>
              <w:t>4.7</w:t>
            </w:r>
          </w:p>
        </w:tc>
        <w:tc>
          <w:tcPr>
            <w:tcW w:w="2126" w:type="dxa"/>
          </w:tcPr>
          <w:p w14:paraId="32786721" w14:textId="43AC07D3" w:rsidR="005F3475" w:rsidRPr="006E4E36"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Co-regulation</w:t>
            </w:r>
          </w:p>
        </w:tc>
        <w:tc>
          <w:tcPr>
            <w:tcW w:w="2127" w:type="dxa"/>
          </w:tcPr>
          <w:p w14:paraId="50193D1F" w14:textId="77777777" w:rsidR="005F3475" w:rsidRPr="006E4E3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9588144" w:rsidR="005F3475" w:rsidRPr="003D30DB" w:rsidRDefault="003D30DB" w:rsidP="00CB46D4">
            <w:pPr>
              <w:cnfStyle w:val="000000100000" w:firstRow="0" w:lastRow="0" w:firstColumn="0" w:lastColumn="0" w:oddVBand="0" w:evenVBand="0" w:oddHBand="1" w:evenHBand="0" w:firstRowFirstColumn="0" w:firstRowLastColumn="0" w:lastRowFirstColumn="0" w:lastRowLastColumn="0"/>
              <w:rPr>
                <w:i/>
                <w:iCs/>
              </w:rPr>
            </w:pPr>
            <w:r w:rsidRPr="003D30DB">
              <w:rPr>
                <w:i/>
                <w:iCs/>
              </w:rPr>
              <w:t>Not applicable.</w:t>
            </w:r>
          </w:p>
        </w:tc>
      </w:tr>
      <w:tr w:rsidR="005F3475" w:rsidRPr="006E4E36"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6E4E36" w:rsidRDefault="004239C6" w:rsidP="00CB46D4">
            <w:pPr>
              <w:rPr>
                <w:color w:val="747474" w:themeColor="background2" w:themeShade="80"/>
              </w:rPr>
            </w:pPr>
            <w:r w:rsidRPr="006E4E36">
              <w:rPr>
                <w:color w:val="747474" w:themeColor="background2" w:themeShade="80"/>
              </w:rPr>
              <w:t>4.8</w:t>
            </w:r>
          </w:p>
        </w:tc>
        <w:tc>
          <w:tcPr>
            <w:tcW w:w="2126" w:type="dxa"/>
          </w:tcPr>
          <w:p w14:paraId="3DB77ADE" w14:textId="555B3FE4" w:rsidR="005F3475" w:rsidRPr="006E4E36"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How does the government enforce advertising laws?</w:t>
            </w:r>
          </w:p>
        </w:tc>
        <w:tc>
          <w:tcPr>
            <w:tcW w:w="2127" w:type="dxa"/>
          </w:tcPr>
          <w:p w14:paraId="42F15956" w14:textId="77777777" w:rsidR="005F3475" w:rsidRPr="006E4E3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3780CCF8" w:rsidR="005F3475" w:rsidRPr="006E4E36" w:rsidRDefault="005C75B4" w:rsidP="00CB46D4">
            <w:pPr>
              <w:cnfStyle w:val="000000000000" w:firstRow="0" w:lastRow="0" w:firstColumn="0" w:lastColumn="0" w:oddVBand="0" w:evenVBand="0" w:oddHBand="0" w:evenHBand="0" w:firstRowFirstColumn="0" w:firstRowLastColumn="0" w:lastRowFirstColumn="0" w:lastRowLastColumn="0"/>
            </w:pPr>
            <w:r w:rsidRPr="005C75B4">
              <w:t xml:space="preserve">The </w:t>
            </w:r>
            <w:hyperlink r:id="rId56" w:history="1">
              <w:r w:rsidRPr="003D30DB">
                <w:rPr>
                  <w:rStyle w:val="Hyperlink"/>
                </w:rPr>
                <w:t>Competition Bureau</w:t>
              </w:r>
            </w:hyperlink>
            <w:r>
              <w:t xml:space="preserve"> can </w:t>
            </w:r>
            <w:r w:rsidRPr="005C75B4">
              <w:t xml:space="preserve">pursue administrative remedies in </w:t>
            </w:r>
            <w:r>
              <w:t>cases of</w:t>
            </w:r>
            <w:r w:rsidRPr="005C75B4">
              <w:t xml:space="preserve"> misleading advertising and other deceptive marketing practices</w:t>
            </w:r>
            <w:r>
              <w:t xml:space="preserve"> </w:t>
            </w:r>
            <w:r w:rsidRPr="005C75B4">
              <w:t>under the federal Competition Act</w:t>
            </w:r>
            <w:r>
              <w:t xml:space="preserve"> </w:t>
            </w:r>
            <w:r w:rsidR="003D30DB">
              <w:t>(</w:t>
            </w:r>
            <w:proofErr w:type="spellStart"/>
            <w:r w:rsidR="003D30DB">
              <w:fldChar w:fldCharType="begin"/>
            </w:r>
            <w:r w:rsidR="003D30DB">
              <w:instrText xml:space="preserve"> HYPERLINK "https://gowlingwlg.com/en/insights-resources/guides/2023/doing-business-in-canada-advertising/" </w:instrText>
            </w:r>
            <w:r w:rsidR="003D30DB">
              <w:fldChar w:fldCharType="separate"/>
            </w:r>
            <w:r w:rsidR="003D30DB" w:rsidRPr="003D30DB">
              <w:rPr>
                <w:rStyle w:val="Hyperlink"/>
              </w:rPr>
              <w:t>Gowling</w:t>
            </w:r>
            <w:proofErr w:type="spellEnd"/>
            <w:r w:rsidR="003D30DB" w:rsidRPr="003D30DB">
              <w:rPr>
                <w:rStyle w:val="Hyperlink"/>
              </w:rPr>
              <w:t xml:space="preserve"> WLG 2023</w:t>
            </w:r>
            <w:r w:rsidR="003D30DB">
              <w:fldChar w:fldCharType="end"/>
            </w:r>
            <w:r w:rsidR="003D30DB" w:rsidRPr="005C75B4">
              <w:t>).</w:t>
            </w:r>
          </w:p>
        </w:tc>
      </w:tr>
      <w:tr w:rsidR="005F3475" w:rsidRPr="006E4E36"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6E4E36" w:rsidRDefault="004239C6" w:rsidP="00CB46D4">
            <w:pPr>
              <w:rPr>
                <w:color w:val="747474" w:themeColor="background2" w:themeShade="80"/>
              </w:rPr>
            </w:pPr>
            <w:r w:rsidRPr="006E4E36">
              <w:rPr>
                <w:color w:val="747474" w:themeColor="background2" w:themeShade="80"/>
              </w:rPr>
              <w:t>4.9</w:t>
            </w:r>
          </w:p>
        </w:tc>
        <w:tc>
          <w:tcPr>
            <w:tcW w:w="2126" w:type="dxa"/>
          </w:tcPr>
          <w:p w14:paraId="531F1313" w14:textId="0B2A61D6" w:rsidR="005F3475" w:rsidRPr="006E4E36"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What are the potential remedies?</w:t>
            </w:r>
          </w:p>
        </w:tc>
        <w:tc>
          <w:tcPr>
            <w:tcW w:w="2127" w:type="dxa"/>
          </w:tcPr>
          <w:p w14:paraId="6A2BA953" w14:textId="77777777" w:rsidR="005F3475" w:rsidRPr="006E4E3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7C63FD09" w:rsidR="005F3475" w:rsidRPr="003D30DB" w:rsidRDefault="003D30DB" w:rsidP="00CB46D4">
            <w:pPr>
              <w:cnfStyle w:val="000000100000" w:firstRow="0" w:lastRow="0" w:firstColumn="0" w:lastColumn="0" w:oddVBand="0" w:evenVBand="0" w:oddHBand="1" w:evenHBand="0" w:firstRowFirstColumn="0" w:firstRowLastColumn="0" w:lastRowFirstColumn="0" w:lastRowLastColumn="0"/>
              <w:rPr>
                <w:i/>
                <w:iCs/>
              </w:rPr>
            </w:pPr>
            <w:r w:rsidRPr="003D30DB">
              <w:rPr>
                <w:i/>
                <w:iCs/>
              </w:rPr>
              <w:t>This section is under development.</w:t>
            </w:r>
          </w:p>
        </w:tc>
      </w:tr>
      <w:tr w:rsidR="005F3475" w:rsidRPr="006E4E36"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6E4E36" w:rsidRDefault="008C6FA9" w:rsidP="00CB46D4">
            <w:pPr>
              <w:rPr>
                <w:color w:val="747474" w:themeColor="background2" w:themeShade="80"/>
              </w:rPr>
            </w:pPr>
            <w:r w:rsidRPr="006E4E36">
              <w:rPr>
                <w:color w:val="747474" w:themeColor="background2" w:themeShade="80"/>
              </w:rPr>
              <w:t>4.10</w:t>
            </w:r>
          </w:p>
        </w:tc>
        <w:tc>
          <w:tcPr>
            <w:tcW w:w="2126" w:type="dxa"/>
          </w:tcPr>
          <w:p w14:paraId="1811106B" w14:textId="77716D68" w:rsidR="005F3475" w:rsidRPr="006E4E36"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When does a competitor have a right of action?</w:t>
            </w:r>
          </w:p>
        </w:tc>
        <w:tc>
          <w:tcPr>
            <w:tcW w:w="2127" w:type="dxa"/>
          </w:tcPr>
          <w:p w14:paraId="61AF9C4E" w14:textId="77777777" w:rsidR="005F3475" w:rsidRPr="006E4E3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413556C9" w:rsidR="005F3475" w:rsidRPr="006E4E36" w:rsidRDefault="003D30DB" w:rsidP="00CB46D4">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5F3475" w:rsidRPr="006E4E36"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6E4E36" w:rsidRDefault="008C6FA9" w:rsidP="00CB46D4">
            <w:pPr>
              <w:rPr>
                <w:color w:val="747474" w:themeColor="background2" w:themeShade="80"/>
              </w:rPr>
            </w:pPr>
            <w:r w:rsidRPr="006E4E36">
              <w:rPr>
                <w:color w:val="747474" w:themeColor="background2" w:themeShade="80"/>
              </w:rPr>
              <w:lastRenderedPageBreak/>
              <w:t>4.11</w:t>
            </w:r>
          </w:p>
        </w:tc>
        <w:tc>
          <w:tcPr>
            <w:tcW w:w="2126" w:type="dxa"/>
          </w:tcPr>
          <w:p w14:paraId="223F4313" w14:textId="5CD0C54A" w:rsidR="005F3475" w:rsidRPr="006E4E36"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What are the potential remedies (4.10)?</w:t>
            </w:r>
          </w:p>
        </w:tc>
        <w:tc>
          <w:tcPr>
            <w:tcW w:w="2127" w:type="dxa"/>
          </w:tcPr>
          <w:p w14:paraId="6FFCF00A" w14:textId="77777777" w:rsidR="005F3475" w:rsidRPr="006E4E3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364F3775" w:rsidR="005F3475" w:rsidRPr="006E4E36" w:rsidRDefault="003D30DB" w:rsidP="00CB46D4">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5F3475" w:rsidRPr="006E4E36"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6E4E36" w:rsidRDefault="008C6FA9" w:rsidP="00CB46D4">
            <w:pPr>
              <w:rPr>
                <w:color w:val="747474" w:themeColor="background2" w:themeShade="80"/>
              </w:rPr>
            </w:pPr>
            <w:r w:rsidRPr="006E4E36">
              <w:rPr>
                <w:color w:val="747474" w:themeColor="background2" w:themeShade="80"/>
              </w:rPr>
              <w:t>4.12</w:t>
            </w:r>
          </w:p>
        </w:tc>
        <w:tc>
          <w:tcPr>
            <w:tcW w:w="2126" w:type="dxa"/>
          </w:tcPr>
          <w:p w14:paraId="39123F6A" w14:textId="7CB6A0C7" w:rsidR="005F3475" w:rsidRPr="006E4E36"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When do consumers have a right of action (4.11)?</w:t>
            </w:r>
          </w:p>
        </w:tc>
        <w:tc>
          <w:tcPr>
            <w:tcW w:w="2127" w:type="dxa"/>
          </w:tcPr>
          <w:p w14:paraId="0C179C94" w14:textId="77777777" w:rsidR="005F3475" w:rsidRPr="006E4E3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180F6690" w:rsidR="005F3475" w:rsidRPr="006E4E36" w:rsidRDefault="003D30DB" w:rsidP="00CB46D4">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5F3475" w:rsidRPr="006E4E36"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6E4E36" w:rsidRDefault="008C6FA9" w:rsidP="00CB46D4">
            <w:pPr>
              <w:rPr>
                <w:color w:val="747474" w:themeColor="background2" w:themeShade="80"/>
              </w:rPr>
            </w:pPr>
            <w:r w:rsidRPr="006E4E36">
              <w:rPr>
                <w:color w:val="747474" w:themeColor="background2" w:themeShade="80"/>
              </w:rPr>
              <w:t>4.13</w:t>
            </w:r>
          </w:p>
        </w:tc>
        <w:tc>
          <w:tcPr>
            <w:tcW w:w="2126" w:type="dxa"/>
          </w:tcPr>
          <w:p w14:paraId="5B967DD8" w14:textId="7997784F" w:rsidR="005F3475" w:rsidRPr="006E4E36"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What are the potential remedies?</w:t>
            </w:r>
          </w:p>
        </w:tc>
        <w:tc>
          <w:tcPr>
            <w:tcW w:w="2127" w:type="dxa"/>
          </w:tcPr>
          <w:p w14:paraId="3766A475" w14:textId="77777777" w:rsidR="005F3475" w:rsidRPr="006E4E36"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21DE5ABC" w:rsidR="005F3475" w:rsidRPr="006E4E36" w:rsidRDefault="003D30DB" w:rsidP="00CB46D4">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5F3475" w:rsidRPr="006E4E36"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6E4E36" w:rsidRDefault="008C6FA9" w:rsidP="00CB46D4">
            <w:pPr>
              <w:rPr>
                <w:color w:val="747474" w:themeColor="background2" w:themeShade="80"/>
              </w:rPr>
            </w:pPr>
            <w:r w:rsidRPr="006E4E36">
              <w:rPr>
                <w:color w:val="747474" w:themeColor="background2" w:themeShade="80"/>
              </w:rPr>
              <w:t>4.14</w:t>
            </w:r>
          </w:p>
        </w:tc>
        <w:tc>
          <w:tcPr>
            <w:tcW w:w="2126" w:type="dxa"/>
          </w:tcPr>
          <w:p w14:paraId="1DA1DD58" w14:textId="61B9D048" w:rsidR="005F3475" w:rsidRPr="006E4E36"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 xml:space="preserve">Regulatory Environment </w:t>
            </w:r>
            <w:r w:rsidRPr="006E4E36">
              <w:br/>
              <w:t>(2020-2025)</w:t>
            </w:r>
          </w:p>
        </w:tc>
        <w:tc>
          <w:tcPr>
            <w:tcW w:w="2127" w:type="dxa"/>
          </w:tcPr>
          <w:p w14:paraId="65B53CDA" w14:textId="77777777" w:rsidR="005F3475" w:rsidRPr="006E4E36"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31F57238" w:rsidR="005F3475" w:rsidRPr="001B2B13" w:rsidRDefault="001B2B13" w:rsidP="00CB46D4">
            <w:pPr>
              <w:cnfStyle w:val="000000000000" w:firstRow="0" w:lastRow="0" w:firstColumn="0" w:lastColumn="0" w:oddVBand="0" w:evenVBand="0" w:oddHBand="0" w:evenHBand="0" w:firstRowFirstColumn="0" w:firstRowLastColumn="0" w:lastRowFirstColumn="0" w:lastRowLastColumn="0"/>
            </w:pPr>
            <w:r w:rsidRPr="001B2B13">
              <w:rPr>
                <w:rStyle w:val="normaltextrun"/>
                <w:color w:val="000000"/>
                <w:shd w:val="clear" w:color="auto" w:fill="FFFFFF"/>
              </w:rPr>
              <w:t xml:space="preserve">The 2023 amendment to </w:t>
            </w:r>
            <w:hyperlink r:id="rId57" w:tgtFrame="_blank" w:history="1">
              <w:r w:rsidRPr="001B2B13">
                <w:rPr>
                  <w:rStyle w:val="normaltextrun"/>
                  <w:color w:val="0563C1"/>
                  <w:u w:val="single"/>
                  <w:shd w:val="clear" w:color="auto" w:fill="FFFFFF"/>
                </w:rPr>
                <w:t>An Act to promote the efficiency and adaptability of the Canadian economy by regulating certain activities that discourage reliance on electronic means of carrying out commercial activities, and to amend the Canadian Radio-television and Telecommunications Commission Act, the Competition Act, the Personal Information Protection and Electronic Documents Act and the Telecommunications Act (S.C. 2010, c. 23)</w:t>
              </w:r>
            </w:hyperlink>
            <w:r w:rsidRPr="001B2B13">
              <w:rPr>
                <w:rStyle w:val="normaltextrun"/>
                <w:color w:val="000000"/>
                <w:shd w:val="clear" w:color="auto" w:fill="FFFFFF"/>
              </w:rPr>
              <w:t xml:space="preserve"> triggered the revision of legislation affecting the communications regulatory landscape and advertising regulation.</w:t>
            </w:r>
            <w:r w:rsidRPr="001B2B13">
              <w:rPr>
                <w:rStyle w:val="eop"/>
                <w:color w:val="000000"/>
                <w:shd w:val="clear" w:color="auto" w:fill="FFFFFF"/>
              </w:rPr>
              <w:t> </w:t>
            </w:r>
          </w:p>
        </w:tc>
      </w:tr>
    </w:tbl>
    <w:p w14:paraId="43743D72" w14:textId="12EC5DB1" w:rsidR="00955813" w:rsidRPr="006E4E36" w:rsidRDefault="00291EED" w:rsidP="00291EED">
      <w:pPr>
        <w:pStyle w:val="SectionHead"/>
        <w:rPr>
          <w:rFonts w:cs="Arial"/>
        </w:rPr>
      </w:pPr>
      <w:bookmarkStart w:id="7" w:name="_Toc172573287"/>
      <w:r w:rsidRPr="006E4E36">
        <w:rPr>
          <w:rFonts w:cs="Arial"/>
        </w:rPr>
        <w:t>Advertising:  Self-regulation</w:t>
      </w:r>
      <w:bookmarkEnd w:id="7"/>
      <w:r w:rsidR="00955813"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00955813" w:rsidRPr="006E4E36" w14:paraId="6C73D816" w14:textId="77777777" w:rsidTr="0020611B">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6E4E36" w:rsidRDefault="00955813" w:rsidP="00CB46D4">
            <w:pPr>
              <w:pStyle w:val="Tableheadings"/>
              <w:spacing w:line="240" w:lineRule="auto"/>
              <w:rPr>
                <w:b/>
                <w:bCs/>
              </w:rPr>
            </w:pPr>
            <w:r w:rsidRPr="006E4E36">
              <w:rPr>
                <w:b/>
                <w:bCs/>
              </w:rPr>
              <w:t>Item</w:t>
            </w:r>
          </w:p>
        </w:tc>
        <w:tc>
          <w:tcPr>
            <w:tcW w:w="2192" w:type="dxa"/>
            <w:tcBorders>
              <w:bottom w:val="none" w:sz="0" w:space="0" w:color="auto"/>
            </w:tcBorders>
          </w:tcPr>
          <w:p w14:paraId="2DCC292C" w14:textId="77777777" w:rsidR="00955813" w:rsidRPr="006E4E3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17" w:type="dxa"/>
            <w:tcBorders>
              <w:bottom w:val="none" w:sz="0" w:space="0" w:color="auto"/>
            </w:tcBorders>
          </w:tcPr>
          <w:p w14:paraId="0C54358F" w14:textId="77777777" w:rsidR="00955813" w:rsidRPr="006E4E3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18" w:type="dxa"/>
            <w:tcBorders>
              <w:bottom w:val="none" w:sz="0" w:space="0" w:color="auto"/>
            </w:tcBorders>
          </w:tcPr>
          <w:p w14:paraId="159767BF" w14:textId="77777777" w:rsidR="00955813" w:rsidRPr="006E4E36"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955813" w:rsidRPr="006E4E36" w14:paraId="68F67FDB"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55813" w:rsidRPr="006E4E36" w:rsidRDefault="00D064B9" w:rsidP="00CB46D4">
            <w:pPr>
              <w:rPr>
                <w:b w:val="0"/>
                <w:bCs w:val="0"/>
                <w:color w:val="747474" w:themeColor="background2" w:themeShade="80"/>
              </w:rPr>
            </w:pPr>
            <w:r w:rsidRPr="006E4E36">
              <w:rPr>
                <w:color w:val="747474" w:themeColor="background2" w:themeShade="80"/>
              </w:rPr>
              <w:t>5</w:t>
            </w:r>
            <w:r w:rsidR="00955813" w:rsidRPr="006E4E36">
              <w:rPr>
                <w:color w:val="747474" w:themeColor="background2" w:themeShade="80"/>
              </w:rPr>
              <w:t>.1</w:t>
            </w:r>
          </w:p>
        </w:tc>
        <w:tc>
          <w:tcPr>
            <w:tcW w:w="2192" w:type="dxa"/>
            <w:tcBorders>
              <w:top w:val="none" w:sz="0" w:space="0" w:color="auto"/>
              <w:bottom w:val="none" w:sz="0" w:space="0" w:color="auto"/>
            </w:tcBorders>
          </w:tcPr>
          <w:p w14:paraId="2D088E20" w14:textId="2B61A3BC" w:rsidR="00955813" w:rsidRPr="006E4E36"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Does [Country] have a primary advertising SRO?</w:t>
            </w:r>
          </w:p>
        </w:tc>
        <w:tc>
          <w:tcPr>
            <w:tcW w:w="2117" w:type="dxa"/>
            <w:tcBorders>
              <w:top w:val="none" w:sz="0" w:space="0" w:color="auto"/>
              <w:bottom w:val="none" w:sz="0" w:space="0" w:color="auto"/>
            </w:tcBorders>
          </w:tcPr>
          <w:p w14:paraId="3C413FE3"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Borders>
              <w:top w:val="none" w:sz="0" w:space="0" w:color="auto"/>
              <w:bottom w:val="none" w:sz="0" w:space="0" w:color="auto"/>
            </w:tcBorders>
          </w:tcPr>
          <w:p w14:paraId="2E3CAE46" w14:textId="1048BB95" w:rsidR="00955813" w:rsidRPr="006E4E36" w:rsidRDefault="00832B98" w:rsidP="00CB46D4">
            <w:pPr>
              <w:cnfStyle w:val="000000100000" w:firstRow="0" w:lastRow="0" w:firstColumn="0" w:lastColumn="0" w:oddVBand="0" w:evenVBand="0" w:oddHBand="1" w:evenHBand="0" w:firstRowFirstColumn="0" w:firstRowLastColumn="0" w:lastRowFirstColumn="0" w:lastRowLastColumn="0"/>
            </w:pPr>
            <w:r>
              <w:t xml:space="preserve">Yes, </w:t>
            </w:r>
            <w:hyperlink r:id="rId58" w:history="1">
              <w:r w:rsidRPr="001B2B13">
                <w:rPr>
                  <w:rStyle w:val="Hyperlink"/>
                </w:rPr>
                <w:t>Advertising Standards—Canada</w:t>
              </w:r>
            </w:hyperlink>
            <w:r>
              <w:t xml:space="preserve"> </w:t>
            </w:r>
            <w:r w:rsidR="00E3008E">
              <w:t xml:space="preserve">(ASC) </w:t>
            </w:r>
            <w:r>
              <w:t>is the main advertising self-regulatory organisation in Canada and it produced the</w:t>
            </w:r>
            <w:r w:rsidRPr="00182E18">
              <w:t xml:space="preserve"> </w:t>
            </w:r>
            <w:hyperlink r:id="rId59" w:history="1">
              <w:r w:rsidRPr="00182E18">
                <w:rPr>
                  <w:rStyle w:val="Hyperlink"/>
                </w:rPr>
                <w:t>Canadian Code of Advertising Standards</w:t>
              </w:r>
            </w:hyperlink>
            <w:r>
              <w:t xml:space="preserve"> </w:t>
            </w:r>
            <w:r w:rsidR="00C91E26">
              <w:t>(</w:t>
            </w:r>
            <w:hyperlink r:id="rId60" w:history="1">
              <w:r w:rsidR="00E3008E">
                <w:rPr>
                  <w:rStyle w:val="Hyperlink"/>
                </w:rPr>
                <w:t>ASC</w:t>
              </w:r>
              <w:r w:rsidR="00C91E26" w:rsidRPr="00182E18">
                <w:rPr>
                  <w:rStyle w:val="Hyperlink"/>
                </w:rPr>
                <w:t xml:space="preserve"> 201</w:t>
              </w:r>
              <w:r w:rsidR="00F31387">
                <w:rPr>
                  <w:rStyle w:val="Hyperlink"/>
                </w:rPr>
                <w:t>9b</w:t>
              </w:r>
            </w:hyperlink>
            <w:r w:rsidR="00C91E26">
              <w:t>)</w:t>
            </w:r>
            <w:r w:rsidR="00C91E26" w:rsidRPr="002252E8">
              <w:t>.</w:t>
            </w:r>
          </w:p>
        </w:tc>
      </w:tr>
      <w:tr w:rsidR="00955813" w:rsidRPr="006E4E36" w14:paraId="03C0A1A2"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955813" w:rsidRPr="006E4E36" w:rsidRDefault="00D064B9" w:rsidP="00CB46D4">
            <w:pPr>
              <w:rPr>
                <w:color w:val="3A3A3A" w:themeColor="background2" w:themeShade="40"/>
              </w:rPr>
            </w:pPr>
            <w:r w:rsidRPr="006E4E36">
              <w:rPr>
                <w:color w:val="747474" w:themeColor="background2" w:themeShade="80"/>
              </w:rPr>
              <w:t>5</w:t>
            </w:r>
            <w:r w:rsidR="00955813" w:rsidRPr="006E4E36">
              <w:rPr>
                <w:color w:val="747474" w:themeColor="background2" w:themeShade="80"/>
              </w:rPr>
              <w:t>.2</w:t>
            </w:r>
          </w:p>
        </w:tc>
        <w:tc>
          <w:tcPr>
            <w:tcW w:w="2192" w:type="dxa"/>
          </w:tcPr>
          <w:p w14:paraId="69F45E9E" w14:textId="6049CAAC" w:rsidR="00955813" w:rsidRPr="006E4E36"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What year was the SRO created [revised]?</w:t>
            </w:r>
          </w:p>
        </w:tc>
        <w:tc>
          <w:tcPr>
            <w:tcW w:w="2117" w:type="dxa"/>
          </w:tcPr>
          <w:p w14:paraId="5EDED1A7"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251DCFFB" w14:textId="0C847403" w:rsidR="00955813" w:rsidRPr="006E4E36" w:rsidRDefault="00832B98" w:rsidP="00CB46D4">
            <w:pPr>
              <w:cnfStyle w:val="000000000000" w:firstRow="0" w:lastRow="0" w:firstColumn="0" w:lastColumn="0" w:oddVBand="0" w:evenVBand="0" w:oddHBand="0" w:evenHBand="0" w:firstRowFirstColumn="0" w:firstRowLastColumn="0" w:lastRowFirstColumn="0" w:lastRowLastColumn="0"/>
            </w:pPr>
            <w:r w:rsidRPr="00832B98">
              <w:t>1957 (ICAS 2021).</w:t>
            </w:r>
          </w:p>
        </w:tc>
      </w:tr>
      <w:tr w:rsidR="00955813" w:rsidRPr="006E4E36" w14:paraId="3CEC7F0A"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.3</w:t>
            </w:r>
          </w:p>
        </w:tc>
        <w:tc>
          <w:tcPr>
            <w:tcW w:w="2192" w:type="dxa"/>
            <w:tcBorders>
              <w:top w:val="none" w:sz="0" w:space="0" w:color="auto"/>
              <w:bottom w:val="none" w:sz="0" w:space="0" w:color="auto"/>
            </w:tcBorders>
          </w:tcPr>
          <w:p w14:paraId="3F4C25D5" w14:textId="523238DB" w:rsidR="00955813" w:rsidRPr="006E4E36"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No. of staff at SRO [year]?</w:t>
            </w:r>
          </w:p>
        </w:tc>
        <w:tc>
          <w:tcPr>
            <w:tcW w:w="2117" w:type="dxa"/>
            <w:tcBorders>
              <w:top w:val="none" w:sz="0" w:space="0" w:color="auto"/>
              <w:bottom w:val="none" w:sz="0" w:space="0" w:color="auto"/>
            </w:tcBorders>
          </w:tcPr>
          <w:p w14:paraId="67542701"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Borders>
              <w:top w:val="none" w:sz="0" w:space="0" w:color="auto"/>
              <w:bottom w:val="none" w:sz="0" w:space="0" w:color="auto"/>
            </w:tcBorders>
          </w:tcPr>
          <w:p w14:paraId="22694E45" w14:textId="36D271A8" w:rsidR="00955813" w:rsidRPr="006E4E36" w:rsidRDefault="00000000" w:rsidP="00CB46D4">
            <w:pPr>
              <w:cnfStyle w:val="000000100000" w:firstRow="0" w:lastRow="0" w:firstColumn="0" w:lastColumn="0" w:oddVBand="0" w:evenVBand="0" w:oddHBand="1" w:evenHBand="0" w:firstRowFirstColumn="0" w:firstRowLastColumn="0" w:lastRowFirstColumn="0" w:lastRowLastColumn="0"/>
            </w:pPr>
            <w:hyperlink r:id="rId61" w:history="1">
              <w:r w:rsidR="00C91E26" w:rsidRPr="001B2B13">
                <w:rPr>
                  <w:rStyle w:val="Hyperlink"/>
                </w:rPr>
                <w:t>Advertising Standards—Canada</w:t>
              </w:r>
            </w:hyperlink>
            <w:r w:rsidR="00E3008E">
              <w:t xml:space="preserve"> (ASC)</w:t>
            </w:r>
            <w:r w:rsidR="00C91E26">
              <w:t xml:space="preserve"> has 43 employees (</w:t>
            </w:r>
            <w:hyperlink r:id="rId62" w:history="1">
              <w:r w:rsidR="00C91E26" w:rsidRPr="00C91E26">
                <w:rPr>
                  <w:rStyle w:val="Hyperlink"/>
                </w:rPr>
                <w:t>ZoomInfo n.d.</w:t>
              </w:r>
            </w:hyperlink>
            <w:r w:rsidR="00C91E26">
              <w:t>).</w:t>
            </w:r>
          </w:p>
        </w:tc>
      </w:tr>
      <w:tr w:rsidR="00955813" w:rsidRPr="006E4E36" w14:paraId="5F25C89C"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.4</w:t>
            </w:r>
          </w:p>
        </w:tc>
        <w:tc>
          <w:tcPr>
            <w:tcW w:w="2192" w:type="dxa"/>
          </w:tcPr>
          <w:p w14:paraId="3F5A5283" w14:textId="37CD39A6" w:rsidR="00955813" w:rsidRPr="006E4E36"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SRO Annual Budget? [year]</w:t>
            </w:r>
          </w:p>
        </w:tc>
        <w:tc>
          <w:tcPr>
            <w:tcW w:w="2117" w:type="dxa"/>
          </w:tcPr>
          <w:p w14:paraId="071C38D8"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0BD745C" w14:textId="5ADEF4F8" w:rsidR="00955813" w:rsidRPr="00C91E26" w:rsidRDefault="00C91E26" w:rsidP="00CB46D4">
            <w:pPr>
              <w:cnfStyle w:val="000000000000" w:firstRow="0" w:lastRow="0" w:firstColumn="0" w:lastColumn="0" w:oddVBand="0" w:evenVBand="0" w:oddHBand="0" w:evenHBand="0" w:firstRowFirstColumn="0" w:firstRowLastColumn="0" w:lastRowFirstColumn="0" w:lastRowLastColumn="0"/>
              <w:rPr>
                <w:i/>
                <w:iCs/>
              </w:rPr>
            </w:pPr>
            <w:r w:rsidRPr="00C91E26">
              <w:rPr>
                <w:i/>
                <w:iCs/>
              </w:rPr>
              <w:t>No data available.</w:t>
            </w:r>
          </w:p>
        </w:tc>
      </w:tr>
      <w:tr w:rsidR="00955813" w:rsidRPr="006E4E36" w14:paraId="3B655659"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.5</w:t>
            </w:r>
          </w:p>
        </w:tc>
        <w:tc>
          <w:tcPr>
            <w:tcW w:w="2192" w:type="dxa"/>
            <w:tcBorders>
              <w:top w:val="none" w:sz="0" w:space="0" w:color="auto"/>
              <w:bottom w:val="none" w:sz="0" w:space="0" w:color="auto"/>
            </w:tcBorders>
          </w:tcPr>
          <w:p w14:paraId="298AE983" w14:textId="72223CD8" w:rsidR="00955813" w:rsidRPr="006E4E36"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How is SRO financed? [type]</w:t>
            </w:r>
          </w:p>
        </w:tc>
        <w:tc>
          <w:tcPr>
            <w:tcW w:w="2117" w:type="dxa"/>
            <w:tcBorders>
              <w:top w:val="none" w:sz="0" w:space="0" w:color="auto"/>
              <w:bottom w:val="none" w:sz="0" w:space="0" w:color="auto"/>
            </w:tcBorders>
          </w:tcPr>
          <w:p w14:paraId="512D1B8F"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Borders>
              <w:top w:val="none" w:sz="0" w:space="0" w:color="auto"/>
              <w:bottom w:val="none" w:sz="0" w:space="0" w:color="auto"/>
            </w:tcBorders>
          </w:tcPr>
          <w:p w14:paraId="4A87160A" w14:textId="78819E84" w:rsidR="00955813" w:rsidRPr="00C91E26" w:rsidRDefault="00000000" w:rsidP="00CB46D4">
            <w:pPr>
              <w:cnfStyle w:val="000000100000" w:firstRow="0" w:lastRow="0" w:firstColumn="0" w:lastColumn="0" w:oddVBand="0" w:evenVBand="0" w:oddHBand="1" w:evenHBand="0" w:firstRowFirstColumn="0" w:firstRowLastColumn="0" w:lastRowFirstColumn="0" w:lastRowLastColumn="0"/>
            </w:pPr>
            <w:hyperlink r:id="rId63" w:history="1">
              <w:r w:rsidR="00C91E26" w:rsidRPr="00C91E26">
                <w:rPr>
                  <w:rStyle w:val="Hyperlink"/>
                </w:rPr>
                <w:t>Advertising Standards—Canada</w:t>
              </w:r>
            </w:hyperlink>
            <w:r w:rsidR="00C91E26" w:rsidRPr="00C91E26">
              <w:t xml:space="preserve"> </w:t>
            </w:r>
            <w:r w:rsidR="00E3008E">
              <w:t xml:space="preserve">(ASC) </w:t>
            </w:r>
            <w:r w:rsidR="00C91E26" w:rsidRPr="00C91E26">
              <w:t>is funded through m</w:t>
            </w:r>
            <w:r w:rsidR="00C91E26" w:rsidRPr="00C91E26">
              <w:rPr>
                <w:rStyle w:val="normaltextrun"/>
                <w:color w:val="000000"/>
                <w:shd w:val="clear" w:color="auto" w:fill="FFFFFF"/>
              </w:rPr>
              <w:t>embership fees (ICAS 2021).</w:t>
            </w:r>
            <w:r w:rsidR="00C91E26" w:rsidRPr="00C91E26">
              <w:rPr>
                <w:rStyle w:val="eop"/>
                <w:color w:val="000000"/>
                <w:shd w:val="clear" w:color="auto" w:fill="FFFFFF"/>
              </w:rPr>
              <w:t> </w:t>
            </w:r>
          </w:p>
        </w:tc>
      </w:tr>
      <w:tr w:rsidR="00D15589" w:rsidRPr="006E4E36" w14:paraId="4659D8DD"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D15589" w:rsidRPr="006E4E36" w:rsidRDefault="00D15589" w:rsidP="00CB46D4">
            <w:pPr>
              <w:rPr>
                <w:color w:val="747474" w:themeColor="background2" w:themeShade="80"/>
              </w:rPr>
            </w:pPr>
            <w:r w:rsidRPr="006E4E36">
              <w:rPr>
                <w:color w:val="747474" w:themeColor="background2" w:themeShade="80"/>
              </w:rPr>
              <w:lastRenderedPageBreak/>
              <w:t>5.6</w:t>
            </w:r>
          </w:p>
        </w:tc>
        <w:tc>
          <w:tcPr>
            <w:tcW w:w="2192" w:type="dxa"/>
          </w:tcPr>
          <w:p w14:paraId="1EEE2356" w14:textId="45BCA62C" w:rsidR="00D15589" w:rsidRPr="006E4E36"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What are the entities (market actors/sectors) included in the SRO 5.6a[Note scope and exclusions 5.6b</w:t>
            </w:r>
          </w:p>
        </w:tc>
        <w:tc>
          <w:tcPr>
            <w:tcW w:w="2117" w:type="dxa"/>
          </w:tcPr>
          <w:p w14:paraId="30CE5596" w14:textId="77777777" w:rsidR="00D15589" w:rsidRPr="006E4E36"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76B62FEF" w14:textId="10DBDCD1" w:rsidR="00D15589" w:rsidRPr="006E4E36" w:rsidRDefault="00C91E26" w:rsidP="00CB46D4">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955813" w:rsidRPr="006E4E36" w14:paraId="35ADC04D"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.6</w:t>
            </w:r>
          </w:p>
        </w:tc>
        <w:tc>
          <w:tcPr>
            <w:tcW w:w="2192" w:type="dxa"/>
          </w:tcPr>
          <w:p w14:paraId="74215B84" w14:textId="3D5D2728" w:rsidR="00955813" w:rsidRPr="006E4E36"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Is there a self-reg. code?</w:t>
            </w:r>
          </w:p>
        </w:tc>
        <w:tc>
          <w:tcPr>
            <w:tcW w:w="2117" w:type="dxa"/>
          </w:tcPr>
          <w:p w14:paraId="3EC0C5EC"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0475C907" w14:textId="6723CB3F" w:rsidR="00955813" w:rsidRPr="006E4E36" w:rsidRDefault="00C91E26" w:rsidP="00CB46D4">
            <w:pPr>
              <w:cnfStyle w:val="000000100000" w:firstRow="0" w:lastRow="0" w:firstColumn="0" w:lastColumn="0" w:oddVBand="0" w:evenVBand="0" w:oddHBand="1" w:evenHBand="0" w:firstRowFirstColumn="0" w:firstRowLastColumn="0" w:lastRowFirstColumn="0" w:lastRowLastColumn="0"/>
            </w:pPr>
            <w:r>
              <w:t>Yes, the</w:t>
            </w:r>
            <w:r w:rsidRPr="00182E18">
              <w:t xml:space="preserve"> </w:t>
            </w:r>
            <w:hyperlink r:id="rId64" w:history="1">
              <w:r w:rsidRPr="00182E18">
                <w:rPr>
                  <w:rStyle w:val="Hyperlink"/>
                </w:rPr>
                <w:t>Canadian Code of Advertising Standards</w:t>
              </w:r>
            </w:hyperlink>
            <w:r>
              <w:t xml:space="preserve"> (</w:t>
            </w:r>
            <w:hyperlink r:id="rId65" w:history="1">
              <w:r w:rsidR="00E3008E">
                <w:rPr>
                  <w:rStyle w:val="Hyperlink"/>
                </w:rPr>
                <w:t>ASC</w:t>
              </w:r>
              <w:r w:rsidRPr="00182E18">
                <w:rPr>
                  <w:rStyle w:val="Hyperlink"/>
                </w:rPr>
                <w:t xml:space="preserve"> 201</w:t>
              </w:r>
              <w:r w:rsidR="00F31387">
                <w:rPr>
                  <w:rStyle w:val="Hyperlink"/>
                </w:rPr>
                <w:t>9b</w:t>
              </w:r>
            </w:hyperlink>
            <w:r>
              <w:t>)</w:t>
            </w:r>
            <w:r w:rsidRPr="002252E8">
              <w:t>.</w:t>
            </w:r>
          </w:p>
        </w:tc>
      </w:tr>
      <w:tr w:rsidR="00955813" w:rsidRPr="006E4E36" w14:paraId="09268F88"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.7</w:t>
            </w:r>
          </w:p>
        </w:tc>
        <w:tc>
          <w:tcPr>
            <w:tcW w:w="2192" w:type="dxa"/>
          </w:tcPr>
          <w:p w14:paraId="3A1FDFB0" w14:textId="08B9A475" w:rsidR="00955813" w:rsidRPr="006E4E36"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What are the key principles of the code?</w:t>
            </w:r>
          </w:p>
        </w:tc>
        <w:tc>
          <w:tcPr>
            <w:tcW w:w="2117" w:type="dxa"/>
          </w:tcPr>
          <w:p w14:paraId="73D53FEC"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7022A88" w14:textId="1F18533F" w:rsidR="00955813" w:rsidRPr="006E4E36" w:rsidRDefault="00000000" w:rsidP="00425599">
            <w:pPr>
              <w:cnfStyle w:val="000000000000" w:firstRow="0" w:lastRow="0" w:firstColumn="0" w:lastColumn="0" w:oddVBand="0" w:evenVBand="0" w:oddHBand="0" w:evenHBand="0" w:firstRowFirstColumn="0" w:firstRowLastColumn="0" w:lastRowFirstColumn="0" w:lastRowLastColumn="0"/>
            </w:pPr>
            <w:hyperlink r:id="rId66" w:history="1">
              <w:r w:rsidR="00425599">
                <w:rPr>
                  <w:rStyle w:val="Hyperlink"/>
                </w:rPr>
                <w:t>The C</w:t>
              </w:r>
              <w:r w:rsidR="00425599" w:rsidRPr="00182E18">
                <w:rPr>
                  <w:rStyle w:val="Hyperlink"/>
                </w:rPr>
                <w:t>anadian Code of Advertising Standards</w:t>
              </w:r>
            </w:hyperlink>
            <w:r w:rsidR="00425599">
              <w:t xml:space="preserve"> promotes and maintains standards of ‘honesty, truth, accuracy, fairness and propriety’ (GALA 2024: 166). The rules of the code are supplementary to statutory rules and guidelines, and do not compete with any other Canadian regulatory or pre-clearance systems (</w:t>
            </w:r>
            <w:hyperlink r:id="rId67" w:history="1">
              <w:r w:rsidR="00E3008E">
                <w:rPr>
                  <w:rStyle w:val="Hyperlink"/>
                </w:rPr>
                <w:t>ASC</w:t>
              </w:r>
              <w:r w:rsidR="00425599" w:rsidRPr="00182E18">
                <w:rPr>
                  <w:rStyle w:val="Hyperlink"/>
                </w:rPr>
                <w:t xml:space="preserve"> 201</w:t>
              </w:r>
              <w:r w:rsidR="00F31387">
                <w:rPr>
                  <w:rStyle w:val="Hyperlink"/>
                </w:rPr>
                <w:t>9b</w:t>
              </w:r>
            </w:hyperlink>
            <w:r w:rsidR="00425599">
              <w:t>; GALA 2024: 166).</w:t>
            </w:r>
          </w:p>
        </w:tc>
      </w:tr>
      <w:tr w:rsidR="00955813" w:rsidRPr="006E4E36" w14:paraId="3B41F180"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.8</w:t>
            </w:r>
          </w:p>
        </w:tc>
        <w:tc>
          <w:tcPr>
            <w:tcW w:w="2192" w:type="dxa"/>
          </w:tcPr>
          <w:p w14:paraId="37A253A9" w14:textId="7AE84B86" w:rsidR="00955813" w:rsidRPr="006E4E36"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Is the code ICC derived?</w:t>
            </w:r>
          </w:p>
        </w:tc>
        <w:tc>
          <w:tcPr>
            <w:tcW w:w="2117" w:type="dxa"/>
          </w:tcPr>
          <w:p w14:paraId="6970574E"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15D22E2B" w14:textId="6E13EAA6" w:rsidR="00955813" w:rsidRPr="006E4E36" w:rsidRDefault="00C91E26" w:rsidP="00CB46D4">
            <w:pPr>
              <w:cnfStyle w:val="000000100000" w:firstRow="0" w:lastRow="0" w:firstColumn="0" w:lastColumn="0" w:oddVBand="0" w:evenVBand="0" w:oddHBand="1" w:evenHBand="0" w:firstRowFirstColumn="0" w:firstRowLastColumn="0" w:lastRowFirstColumn="0" w:lastRowLastColumn="0"/>
            </w:pPr>
            <w:r w:rsidRPr="00C91E26">
              <w:t>Yes, the national code is based on/inspired by the ICC Code (ICAS 2021).</w:t>
            </w:r>
          </w:p>
        </w:tc>
      </w:tr>
      <w:tr w:rsidR="00955813" w:rsidRPr="006E4E36" w14:paraId="69A84C2C"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.9</w:t>
            </w:r>
          </w:p>
        </w:tc>
        <w:tc>
          <w:tcPr>
            <w:tcW w:w="2192" w:type="dxa"/>
          </w:tcPr>
          <w:p w14:paraId="3C2FB5D0" w14:textId="64C569D4" w:rsidR="00955813" w:rsidRPr="006E4E36"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Is the primary SRO a formal member of a supranational association?</w:t>
            </w:r>
          </w:p>
        </w:tc>
        <w:tc>
          <w:tcPr>
            <w:tcW w:w="2117" w:type="dxa"/>
          </w:tcPr>
          <w:p w14:paraId="0D5EB7B8"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05BAC871" w14:textId="483BB7A0" w:rsidR="00955813" w:rsidRPr="006E4E36" w:rsidRDefault="00E3008E" w:rsidP="00CB46D4">
            <w:pPr>
              <w:cnfStyle w:val="000000000000" w:firstRow="0" w:lastRow="0" w:firstColumn="0" w:lastColumn="0" w:oddVBand="0" w:evenVBand="0" w:oddHBand="0" w:evenHBand="0" w:firstRowFirstColumn="0" w:firstRowLastColumn="0" w:lastRowFirstColumn="0" w:lastRowLastColumn="0"/>
            </w:pPr>
            <w:r>
              <w:t xml:space="preserve">Yes, </w:t>
            </w:r>
            <w:hyperlink r:id="rId68" w:history="1">
              <w:r w:rsidRPr="001B2B13">
                <w:rPr>
                  <w:rStyle w:val="Hyperlink"/>
                </w:rPr>
                <w:t>Advertising Standards—Canada</w:t>
              </w:r>
            </w:hyperlink>
            <w:r>
              <w:t xml:space="preserve"> (ASC) is an official member of the International Council for Advertising Self-Regulation (ICAS) (</w:t>
            </w:r>
            <w:hyperlink r:id="rId69" w:history="1">
              <w:r w:rsidRPr="00E3008E">
                <w:rPr>
                  <w:rStyle w:val="Hyperlink"/>
                </w:rPr>
                <w:t>ICAS n.d.</w:t>
              </w:r>
            </w:hyperlink>
            <w:r>
              <w:t>).</w:t>
            </w:r>
          </w:p>
        </w:tc>
      </w:tr>
      <w:tr w:rsidR="00955813" w:rsidRPr="006E4E36" w14:paraId="5AB641D1"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.10</w:t>
            </w:r>
          </w:p>
        </w:tc>
        <w:tc>
          <w:tcPr>
            <w:tcW w:w="2192" w:type="dxa"/>
          </w:tcPr>
          <w:p w14:paraId="41C2D577" w14:textId="16AD1739" w:rsidR="00955813" w:rsidRPr="006E4E36"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Are there multiple SRO codes?</w:t>
            </w:r>
          </w:p>
        </w:tc>
        <w:tc>
          <w:tcPr>
            <w:tcW w:w="2117" w:type="dxa"/>
          </w:tcPr>
          <w:p w14:paraId="6A840CC5"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66EAD9E6" w14:textId="4FDE0290" w:rsidR="00955813" w:rsidRPr="006E4E36" w:rsidRDefault="00C91E26" w:rsidP="00CB46D4">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955813" w:rsidRPr="006E4E36" w14:paraId="5C095444"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.11</w:t>
            </w:r>
          </w:p>
        </w:tc>
        <w:tc>
          <w:tcPr>
            <w:tcW w:w="2192" w:type="dxa"/>
          </w:tcPr>
          <w:p w14:paraId="5037A728" w14:textId="0C865103" w:rsidR="00955813" w:rsidRPr="006E4E36"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Main codes (desc.)</w:t>
            </w:r>
          </w:p>
        </w:tc>
        <w:tc>
          <w:tcPr>
            <w:tcW w:w="2117" w:type="dxa"/>
          </w:tcPr>
          <w:p w14:paraId="02148DCA"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9903334" w14:textId="13153471" w:rsidR="00955813" w:rsidRPr="006E4E36" w:rsidRDefault="00C91E26" w:rsidP="00CB46D4">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955813" w:rsidRPr="006E4E36" w14:paraId="6354D9AE"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.12</w:t>
            </w:r>
          </w:p>
        </w:tc>
        <w:tc>
          <w:tcPr>
            <w:tcW w:w="2192" w:type="dxa"/>
          </w:tcPr>
          <w:p w14:paraId="341630D8" w14:textId="78C74C18" w:rsidR="00955813" w:rsidRPr="006E4E36"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Other SROs affecting marketing coms?</w:t>
            </w:r>
          </w:p>
        </w:tc>
        <w:tc>
          <w:tcPr>
            <w:tcW w:w="2117" w:type="dxa"/>
          </w:tcPr>
          <w:p w14:paraId="525CA875"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3D7C1C31" w14:textId="7191D93A" w:rsidR="00425599" w:rsidRDefault="00000000" w:rsidP="0002289F">
            <w:pPr>
              <w:pStyle w:val="ListParagraph"/>
              <w:numPr>
                <w:ilvl w:val="0"/>
                <w:numId w:val="31"/>
              </w:numPr>
              <w:cnfStyle w:val="000000100000" w:firstRow="0" w:lastRow="0" w:firstColumn="0" w:lastColumn="0" w:oddVBand="0" w:evenVBand="0" w:oddHBand="1" w:evenHBand="0" w:firstRowFirstColumn="0" w:firstRowLastColumn="0" w:lastRowFirstColumn="0" w:lastRowLastColumn="0"/>
            </w:pPr>
            <w:hyperlink r:id="rId70" w:history="1">
              <w:r w:rsidR="00425599" w:rsidRPr="0002289F">
                <w:rPr>
                  <w:rStyle w:val="Hyperlink"/>
                </w:rPr>
                <w:t>The Canadian Marketing Association</w:t>
              </w:r>
            </w:hyperlink>
            <w:r w:rsidR="0002289F">
              <w:t xml:space="preserve"> (CMA), which produced the </w:t>
            </w:r>
            <w:hyperlink r:id="rId71" w:history="1">
              <w:r w:rsidR="0002289F" w:rsidRPr="0002289F">
                <w:rPr>
                  <w:rStyle w:val="Hyperlink"/>
                </w:rPr>
                <w:t>Canadian Marketing Code of Ethics and Standards</w:t>
              </w:r>
            </w:hyperlink>
            <w:r w:rsidR="0002289F">
              <w:t xml:space="preserve"> (</w:t>
            </w:r>
            <w:hyperlink r:id="rId72" w:history="1">
              <w:r w:rsidR="0002289F" w:rsidRPr="0002289F">
                <w:rPr>
                  <w:rStyle w:val="Hyperlink"/>
                </w:rPr>
                <w:t>CMA n.d.</w:t>
              </w:r>
            </w:hyperlink>
            <w:r w:rsidR="0002289F">
              <w:t>)</w:t>
            </w:r>
            <w:r w:rsidR="00425599">
              <w:t>.</w:t>
            </w:r>
          </w:p>
          <w:p w14:paraId="2DB1B033" w14:textId="14228EC1" w:rsidR="00425599" w:rsidRDefault="00000000" w:rsidP="0002289F">
            <w:pPr>
              <w:pStyle w:val="ListParagraph"/>
              <w:numPr>
                <w:ilvl w:val="0"/>
                <w:numId w:val="31"/>
              </w:numPr>
              <w:cnfStyle w:val="000000100000" w:firstRow="0" w:lastRow="0" w:firstColumn="0" w:lastColumn="0" w:oddVBand="0" w:evenVBand="0" w:oddHBand="1" w:evenHBand="0" w:firstRowFirstColumn="0" w:firstRowLastColumn="0" w:lastRowFirstColumn="0" w:lastRowLastColumn="0"/>
            </w:pPr>
            <w:hyperlink r:id="rId73" w:history="1">
              <w:r w:rsidR="00425599" w:rsidRPr="0002289F">
                <w:rPr>
                  <w:rStyle w:val="Hyperlink"/>
                </w:rPr>
                <w:t>The Digital Advertising Alliance of Canada</w:t>
              </w:r>
            </w:hyperlink>
            <w:r w:rsidR="0002289F">
              <w:t xml:space="preserve"> (DAA), which produced </w:t>
            </w:r>
            <w:hyperlink r:id="rId74" w:history="1">
              <w:r w:rsidR="0002289F" w:rsidRPr="0002289F">
                <w:rPr>
                  <w:rStyle w:val="Hyperlink"/>
                </w:rPr>
                <w:t>DAA Self-Regulatory Principles</w:t>
              </w:r>
            </w:hyperlink>
            <w:r w:rsidR="0002289F">
              <w:t>, guidelines addressing multiple areas of regulation including transparency in digital environments and Online Behavioural Advertising (</w:t>
            </w:r>
            <w:hyperlink r:id="rId75" w:history="1">
              <w:r w:rsidR="0002289F" w:rsidRPr="0002289F">
                <w:rPr>
                  <w:rStyle w:val="Hyperlink"/>
                </w:rPr>
                <w:t>DAA n.d.</w:t>
              </w:r>
            </w:hyperlink>
            <w:r w:rsidR="0002289F">
              <w:t>)</w:t>
            </w:r>
            <w:r w:rsidR="00425599">
              <w:t>.</w:t>
            </w:r>
          </w:p>
          <w:p w14:paraId="47B7701D" w14:textId="6340FCF2" w:rsidR="00955813" w:rsidRPr="006E4E36" w:rsidRDefault="00000000" w:rsidP="0002289F">
            <w:pPr>
              <w:pStyle w:val="ListParagraph"/>
              <w:numPr>
                <w:ilvl w:val="0"/>
                <w:numId w:val="31"/>
              </w:numPr>
              <w:cnfStyle w:val="000000100000" w:firstRow="0" w:lastRow="0" w:firstColumn="0" w:lastColumn="0" w:oddVBand="0" w:evenVBand="0" w:oddHBand="1" w:evenHBand="0" w:firstRowFirstColumn="0" w:firstRowLastColumn="0" w:lastRowFirstColumn="0" w:lastRowLastColumn="0"/>
            </w:pPr>
            <w:hyperlink r:id="rId76" w:history="1">
              <w:r w:rsidR="00425599" w:rsidRPr="0002289F">
                <w:rPr>
                  <w:rStyle w:val="Hyperlink"/>
                </w:rPr>
                <w:t>The Canadian Beverage Association</w:t>
              </w:r>
            </w:hyperlink>
            <w:r w:rsidR="0002289F">
              <w:t xml:space="preserve"> (CBA), which produced the Code for the Responsible Advertising of Food and Beverage Products to Children and the Guidelines on Marketing to Children (</w:t>
            </w:r>
            <w:hyperlink r:id="rId77" w:history="1">
              <w:r w:rsidR="0002289F" w:rsidRPr="0020611B">
                <w:rPr>
                  <w:rStyle w:val="Hyperlink"/>
                </w:rPr>
                <w:t>CBA</w:t>
              </w:r>
              <w:r w:rsidR="0020611B" w:rsidRPr="0020611B">
                <w:rPr>
                  <w:rStyle w:val="Hyperlink"/>
                </w:rPr>
                <w:t xml:space="preserve"> n.d.</w:t>
              </w:r>
            </w:hyperlink>
            <w:r w:rsidR="0020611B">
              <w:t>).</w:t>
            </w:r>
          </w:p>
        </w:tc>
      </w:tr>
      <w:tr w:rsidR="00955813" w:rsidRPr="006E4E36" w14:paraId="1819B6BC"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955813" w:rsidRPr="006E4E36" w:rsidRDefault="00D064B9" w:rsidP="00CB46D4">
            <w:pPr>
              <w:rPr>
                <w:color w:val="747474" w:themeColor="background2" w:themeShade="80"/>
              </w:rPr>
            </w:pPr>
            <w:r w:rsidRPr="006E4E36">
              <w:rPr>
                <w:color w:val="747474" w:themeColor="background2" w:themeShade="80"/>
              </w:rPr>
              <w:lastRenderedPageBreak/>
              <w:t>5</w:t>
            </w:r>
            <w:r w:rsidR="00955813" w:rsidRPr="006E4E36">
              <w:rPr>
                <w:color w:val="747474" w:themeColor="background2" w:themeShade="80"/>
              </w:rPr>
              <w:t>.13</w:t>
            </w:r>
          </w:p>
        </w:tc>
        <w:tc>
          <w:tcPr>
            <w:tcW w:w="2192" w:type="dxa"/>
          </w:tcPr>
          <w:p w14:paraId="4C532EEE" w14:textId="70EB9785" w:rsidR="00955813" w:rsidRPr="006E4E36"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Are any other SROs (5.7) members of supranat. associations?</w:t>
            </w:r>
          </w:p>
        </w:tc>
        <w:tc>
          <w:tcPr>
            <w:tcW w:w="2117" w:type="dxa"/>
          </w:tcPr>
          <w:p w14:paraId="2E3C4FF5" w14:textId="77777777" w:rsidR="00955813" w:rsidRPr="006E4E36"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AD42845" w14:textId="2F899CA2" w:rsidR="00955813" w:rsidRPr="006E4E36" w:rsidRDefault="00C91E26" w:rsidP="00CB46D4">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955813" w:rsidRPr="006E4E36" w14:paraId="7310EF7F"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955813" w:rsidRPr="006E4E36" w:rsidRDefault="00D064B9" w:rsidP="00CB46D4">
            <w:pPr>
              <w:rPr>
                <w:color w:val="747474" w:themeColor="background2" w:themeShade="80"/>
              </w:rPr>
            </w:pPr>
            <w:r w:rsidRPr="006E4E36">
              <w:rPr>
                <w:color w:val="747474" w:themeColor="background2" w:themeShade="80"/>
              </w:rPr>
              <w:t>5</w:t>
            </w:r>
            <w:r w:rsidR="00955813" w:rsidRPr="006E4E36">
              <w:rPr>
                <w:color w:val="747474" w:themeColor="background2" w:themeShade="80"/>
              </w:rPr>
              <w:t>.14</w:t>
            </w:r>
          </w:p>
        </w:tc>
        <w:tc>
          <w:tcPr>
            <w:tcW w:w="2192" w:type="dxa"/>
          </w:tcPr>
          <w:p w14:paraId="3EA80434" w14:textId="1E7250A4" w:rsidR="00955813" w:rsidRPr="006E4E36"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What enforcement powers/ sanctions do these other SROs have and how are these applied?</w:t>
            </w:r>
          </w:p>
        </w:tc>
        <w:tc>
          <w:tcPr>
            <w:tcW w:w="2117" w:type="dxa"/>
          </w:tcPr>
          <w:p w14:paraId="4EB60240" w14:textId="77777777" w:rsidR="00955813" w:rsidRPr="006E4E36"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37813667" w14:textId="4D4AB490" w:rsidR="00955813" w:rsidRPr="006E4E36" w:rsidRDefault="00C91E26" w:rsidP="00CB46D4">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20611B" w:rsidRPr="006E4E36" w14:paraId="0B49DB81"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20611B" w:rsidRPr="006E4E36" w:rsidRDefault="0020611B" w:rsidP="0020611B">
            <w:pPr>
              <w:rPr>
                <w:color w:val="747474" w:themeColor="background2" w:themeShade="80"/>
              </w:rPr>
            </w:pPr>
            <w:r w:rsidRPr="006E4E36">
              <w:rPr>
                <w:color w:val="747474" w:themeColor="background2" w:themeShade="80"/>
              </w:rPr>
              <w:t>5.15</w:t>
            </w:r>
          </w:p>
        </w:tc>
        <w:tc>
          <w:tcPr>
            <w:tcW w:w="2192" w:type="dxa"/>
          </w:tcPr>
          <w:p w14:paraId="5FEFDA82" w14:textId="77777777"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r w:rsidRPr="006E4E36">
              <w:t>What Industry Regulatory Organisations IROs have codes (or formal guidance) concerning marketing communications (</w:t>
            </w:r>
            <w:proofErr w:type="spellStart"/>
            <w:r w:rsidRPr="006E4E36">
              <w:t>revelant</w:t>
            </w:r>
            <w:proofErr w:type="spellEnd"/>
            <w:r w:rsidRPr="006E4E36">
              <w:t xml:space="preserve"> to branded content)</w:t>
            </w:r>
          </w:p>
          <w:p w14:paraId="3D6F6C6C" w14:textId="0D52AFD1"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p>
        </w:tc>
        <w:tc>
          <w:tcPr>
            <w:tcW w:w="2117" w:type="dxa"/>
          </w:tcPr>
          <w:p w14:paraId="769F2F57" w14:textId="77777777" w:rsidR="0020611B" w:rsidRPr="006E4E36" w:rsidRDefault="0020611B" w:rsidP="002061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3E82114" w14:textId="0AC1A879" w:rsidR="0020611B" w:rsidRPr="006E4E36" w:rsidRDefault="0020611B" w:rsidP="002061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20611B" w:rsidRPr="006E4E36" w14:paraId="37B4A831"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20611B" w:rsidRPr="006E4E36" w:rsidRDefault="0020611B" w:rsidP="0020611B">
            <w:pPr>
              <w:rPr>
                <w:color w:val="747474" w:themeColor="background2" w:themeShade="80"/>
              </w:rPr>
            </w:pPr>
            <w:r w:rsidRPr="006E4E36">
              <w:rPr>
                <w:color w:val="747474" w:themeColor="background2" w:themeShade="80"/>
              </w:rPr>
              <w:t>5.15a</w:t>
            </w:r>
          </w:p>
        </w:tc>
        <w:tc>
          <w:tcPr>
            <w:tcW w:w="2192" w:type="dxa"/>
          </w:tcPr>
          <w:p w14:paraId="52FF63FA" w14:textId="282F88EC"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Indicators of effectiveness (primary SRO)</w:t>
            </w:r>
          </w:p>
        </w:tc>
        <w:tc>
          <w:tcPr>
            <w:tcW w:w="2117" w:type="dxa"/>
          </w:tcPr>
          <w:p w14:paraId="2AAB45DD" w14:textId="77777777" w:rsidR="0020611B" w:rsidRPr="006E4E36" w:rsidRDefault="0020611B" w:rsidP="002061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07A3F32D" w14:textId="744E82FD" w:rsidR="0020611B" w:rsidRPr="006E4E36" w:rsidRDefault="0020611B" w:rsidP="0020611B">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20611B" w:rsidRPr="006E4E36" w14:paraId="555B2541"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20611B" w:rsidRPr="006E4E36" w:rsidRDefault="0020611B" w:rsidP="0020611B">
            <w:pPr>
              <w:rPr>
                <w:color w:val="747474" w:themeColor="background2" w:themeShade="80"/>
              </w:rPr>
            </w:pPr>
            <w:r w:rsidRPr="006E4E36">
              <w:rPr>
                <w:color w:val="747474" w:themeColor="background2" w:themeShade="80"/>
              </w:rPr>
              <w:t>5.16</w:t>
            </w:r>
          </w:p>
        </w:tc>
        <w:tc>
          <w:tcPr>
            <w:tcW w:w="2192" w:type="dxa"/>
          </w:tcPr>
          <w:p w14:paraId="31ADDFD9" w14:textId="4430AD66"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r w:rsidRPr="006E4E36">
              <w:t>Does the SRO system have an enforcement or dispute resolution mechanism?</w:t>
            </w:r>
          </w:p>
        </w:tc>
        <w:tc>
          <w:tcPr>
            <w:tcW w:w="2117" w:type="dxa"/>
          </w:tcPr>
          <w:p w14:paraId="76715528" w14:textId="77777777" w:rsidR="0020611B" w:rsidRPr="006E4E36" w:rsidRDefault="0020611B" w:rsidP="002061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74DCCAC0" w14:textId="5A753B6C" w:rsidR="0020611B" w:rsidRPr="006E4E36" w:rsidRDefault="0020611B" w:rsidP="0020611B">
            <w:pPr>
              <w:cnfStyle w:val="000000000000" w:firstRow="0" w:lastRow="0" w:firstColumn="0" w:lastColumn="0" w:oddVBand="0" w:evenVBand="0" w:oddHBand="0" w:evenHBand="0" w:firstRowFirstColumn="0" w:firstRowLastColumn="0" w:lastRowFirstColumn="0" w:lastRowLastColumn="0"/>
            </w:pPr>
            <w:r>
              <w:t xml:space="preserve">Yes, </w:t>
            </w:r>
            <w:hyperlink r:id="rId78" w:history="1">
              <w:r w:rsidRPr="001B2B13">
                <w:rPr>
                  <w:rStyle w:val="Hyperlink"/>
                </w:rPr>
                <w:t>Advertising Standards—Canada</w:t>
              </w:r>
            </w:hyperlink>
            <w:r>
              <w:t xml:space="preserve"> </w:t>
            </w:r>
            <w:r w:rsidR="00E3008E">
              <w:t xml:space="preserve">(ASC) </w:t>
            </w:r>
            <w:r>
              <w:t>offers the public, advertising industry, and regulators an opportunity to issue a complaint about the breaches of advertising rules</w:t>
            </w:r>
            <w:r w:rsidR="005D5B55">
              <w:t>,</w:t>
            </w:r>
            <w:r>
              <w:t xml:space="preserve"> as set out in the </w:t>
            </w:r>
            <w:hyperlink r:id="rId79" w:history="1">
              <w:r>
                <w:rPr>
                  <w:rStyle w:val="Hyperlink"/>
                </w:rPr>
                <w:t>C</w:t>
              </w:r>
              <w:r w:rsidRPr="00182E18">
                <w:rPr>
                  <w:rStyle w:val="Hyperlink"/>
                </w:rPr>
                <w:t>anadian Code of Advertising Standards</w:t>
              </w:r>
            </w:hyperlink>
            <w:r>
              <w:t xml:space="preserve"> </w:t>
            </w:r>
            <w:r w:rsidR="00E3008E">
              <w:t>(</w:t>
            </w:r>
            <w:hyperlink r:id="rId80" w:history="1">
              <w:r w:rsidR="00E3008E">
                <w:rPr>
                  <w:rStyle w:val="Hyperlink"/>
                </w:rPr>
                <w:t>ASC</w:t>
              </w:r>
              <w:r w:rsidR="00E3008E" w:rsidRPr="00182E18">
                <w:rPr>
                  <w:rStyle w:val="Hyperlink"/>
                </w:rPr>
                <w:t xml:space="preserve"> 201</w:t>
              </w:r>
              <w:r w:rsidR="00F31387">
                <w:rPr>
                  <w:rStyle w:val="Hyperlink"/>
                </w:rPr>
                <w:t>9b</w:t>
              </w:r>
            </w:hyperlink>
            <w:r w:rsidR="00E3008E">
              <w:t xml:space="preserve">). </w:t>
            </w:r>
            <w:r>
              <w:t>Consumers can submit complaints via email or letter, as per instruction</w:t>
            </w:r>
            <w:r w:rsidR="005D5B55">
              <w:t>s on the</w:t>
            </w:r>
            <w:r>
              <w:t xml:space="preserve"> Ad</w:t>
            </w:r>
            <w:r w:rsidR="005D5B55">
              <w:t>vertising</w:t>
            </w:r>
            <w:r>
              <w:t xml:space="preserve"> Standards </w:t>
            </w:r>
            <w:r w:rsidR="005D5B55">
              <w:t>website (</w:t>
            </w:r>
            <w:hyperlink r:id="rId81" w:history="1">
              <w:r w:rsidR="00E3008E">
                <w:rPr>
                  <w:rStyle w:val="Hyperlink"/>
                </w:rPr>
                <w:t xml:space="preserve">ASC </w:t>
              </w:r>
              <w:r w:rsidR="005D5B55" w:rsidRPr="005D5B55">
                <w:rPr>
                  <w:rStyle w:val="Hyperlink"/>
                </w:rPr>
                <w:t>n.d.</w:t>
              </w:r>
            </w:hyperlink>
            <w:r w:rsidR="005D5B55">
              <w:t xml:space="preserve">). </w:t>
            </w:r>
          </w:p>
        </w:tc>
      </w:tr>
      <w:tr w:rsidR="0020611B" w:rsidRPr="006E4E36" w14:paraId="28A6CB53"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20611B" w:rsidRPr="006E4E36" w:rsidRDefault="0020611B" w:rsidP="0020611B">
            <w:pPr>
              <w:rPr>
                <w:color w:val="747474" w:themeColor="background2" w:themeShade="80"/>
              </w:rPr>
            </w:pPr>
            <w:r w:rsidRPr="006E4E36">
              <w:rPr>
                <w:color w:val="747474" w:themeColor="background2" w:themeShade="80"/>
              </w:rPr>
              <w:t>5.17</w:t>
            </w:r>
          </w:p>
        </w:tc>
        <w:tc>
          <w:tcPr>
            <w:tcW w:w="2192" w:type="dxa"/>
          </w:tcPr>
          <w:p w14:paraId="026C376C" w14:textId="3B2858CF"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Are juries</w:t>
            </w:r>
            <w:r w:rsidRPr="006E4E36">
              <w:br/>
              <w:t>/adjudicators independent from the advertising sector?</w:t>
            </w:r>
          </w:p>
        </w:tc>
        <w:tc>
          <w:tcPr>
            <w:tcW w:w="2117" w:type="dxa"/>
          </w:tcPr>
          <w:p w14:paraId="0C96D46C" w14:textId="77777777" w:rsidR="0020611B" w:rsidRPr="006E4E36" w:rsidRDefault="0020611B" w:rsidP="002061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7E970569" w14:textId="671E4EF6" w:rsidR="008C3580" w:rsidRDefault="00000000" w:rsidP="008C3580">
            <w:pPr>
              <w:cnfStyle w:val="000000100000" w:firstRow="0" w:lastRow="0" w:firstColumn="0" w:lastColumn="0" w:oddVBand="0" w:evenVBand="0" w:oddHBand="1" w:evenHBand="0" w:firstRowFirstColumn="0" w:firstRowLastColumn="0" w:lastRowFirstColumn="0" w:lastRowLastColumn="0"/>
            </w:pPr>
            <w:hyperlink r:id="rId82" w:history="1">
              <w:r w:rsidR="008C3580" w:rsidRPr="001B2B13">
                <w:rPr>
                  <w:rStyle w:val="Hyperlink"/>
                </w:rPr>
                <w:t>Advertising Standards—Canada</w:t>
              </w:r>
            </w:hyperlink>
            <w:r w:rsidR="008C3580">
              <w:t xml:space="preserve"> (ASC) claims that each of its councils comprises of a non-voting Chair and up to seven voting Council members. The members include the representatives of the advertising industry (up to four) and the representatives of the public (up to three), which means that most of the members are advertisers, and/or come from advertising agencies, and media organizations. However, the ASC emphasises that </w:t>
            </w:r>
            <w:r w:rsidR="00AE0515">
              <w:t>‘</w:t>
            </w:r>
            <w:r w:rsidR="008C3580">
              <w:t xml:space="preserve">Council members serve in their personal capacity, not as representatives of, or spokespersons for, any </w:t>
            </w:r>
          </w:p>
          <w:p w14:paraId="115FF0D5" w14:textId="6DEEFE0A" w:rsidR="0020611B" w:rsidRPr="006E4E36" w:rsidRDefault="008C3580" w:rsidP="008C3580">
            <w:pPr>
              <w:cnfStyle w:val="000000100000" w:firstRow="0" w:lastRow="0" w:firstColumn="0" w:lastColumn="0" w:oddVBand="0" w:evenVBand="0" w:oddHBand="1" w:evenHBand="0" w:firstRowFirstColumn="0" w:firstRowLastColumn="0" w:lastRowFirstColumn="0" w:lastRowLastColumn="0"/>
            </w:pPr>
            <w:r>
              <w:t>particular company, organization or sector</w:t>
            </w:r>
            <w:r w:rsidR="00AE0515">
              <w:t>’ (</w:t>
            </w:r>
            <w:hyperlink r:id="rId83" w:history="1">
              <w:r w:rsidR="00AE0515" w:rsidRPr="00AE0515">
                <w:rPr>
                  <w:rStyle w:val="Hyperlink"/>
                </w:rPr>
                <w:t>ASC 201</w:t>
              </w:r>
              <w:r w:rsidR="00F31387">
                <w:rPr>
                  <w:rStyle w:val="Hyperlink"/>
                </w:rPr>
                <w:t>9a</w:t>
              </w:r>
            </w:hyperlink>
            <w:r w:rsidR="00AE0515">
              <w:t>)</w:t>
            </w:r>
            <w:r>
              <w:t xml:space="preserve">. </w:t>
            </w:r>
            <w:r w:rsidR="00AE0515">
              <w:t xml:space="preserve">In the cases of the Council members changing their principal work affiliation, ASC determines their continued </w:t>
            </w:r>
            <w:r w:rsidR="00AE0515">
              <w:lastRenderedPageBreak/>
              <w:t>eligibility. ASC chooses the representatives of the public and offers them a honorarium (</w:t>
            </w:r>
            <w:hyperlink r:id="rId84" w:history="1">
              <w:r w:rsidR="00AE0515" w:rsidRPr="00AE0515">
                <w:rPr>
                  <w:rStyle w:val="Hyperlink"/>
                </w:rPr>
                <w:t>ASC 201</w:t>
              </w:r>
              <w:r w:rsidR="00F31387">
                <w:rPr>
                  <w:rStyle w:val="Hyperlink"/>
                </w:rPr>
                <w:t>9a</w:t>
              </w:r>
            </w:hyperlink>
            <w:r w:rsidR="00AE0515">
              <w:t>).</w:t>
            </w:r>
          </w:p>
        </w:tc>
      </w:tr>
      <w:tr w:rsidR="0020611B" w:rsidRPr="006E4E36" w14:paraId="73573724"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20611B" w:rsidRPr="006E4E36" w:rsidRDefault="0020611B" w:rsidP="0020611B">
            <w:pPr>
              <w:rPr>
                <w:color w:val="747474" w:themeColor="background2" w:themeShade="80"/>
              </w:rPr>
            </w:pPr>
            <w:r w:rsidRPr="006E4E36">
              <w:rPr>
                <w:color w:val="747474" w:themeColor="background2" w:themeShade="80"/>
              </w:rPr>
              <w:lastRenderedPageBreak/>
              <w:t>5.18</w:t>
            </w:r>
          </w:p>
        </w:tc>
        <w:tc>
          <w:tcPr>
            <w:tcW w:w="2192" w:type="dxa"/>
          </w:tcPr>
          <w:p w14:paraId="18878E94" w14:textId="54132730"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r w:rsidRPr="006E4E36">
              <w:t>How does enforcement/dispute resolution work?</w:t>
            </w:r>
          </w:p>
        </w:tc>
        <w:tc>
          <w:tcPr>
            <w:tcW w:w="2117" w:type="dxa"/>
          </w:tcPr>
          <w:p w14:paraId="23758B66" w14:textId="77777777" w:rsidR="0020611B" w:rsidRPr="006E4E36" w:rsidRDefault="0020611B" w:rsidP="002061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F719467" w14:textId="73F59BB8" w:rsidR="0020611B" w:rsidRPr="006E4E36" w:rsidRDefault="005D5B55" w:rsidP="005D5B55">
            <w:pPr>
              <w:cnfStyle w:val="000000000000" w:firstRow="0" w:lastRow="0" w:firstColumn="0" w:lastColumn="0" w:oddVBand="0" w:evenVBand="0" w:oddHBand="0" w:evenHBand="0" w:firstRowFirstColumn="0" w:firstRowLastColumn="0" w:lastRowFirstColumn="0" w:lastRowLastColumn="0"/>
            </w:pPr>
            <w:r>
              <w:t xml:space="preserve">When </w:t>
            </w:r>
            <w:hyperlink r:id="rId85" w:history="1">
              <w:r w:rsidRPr="001B2B13">
                <w:rPr>
                  <w:rStyle w:val="Hyperlink"/>
                </w:rPr>
                <w:t>Advertising Standards—Canada</w:t>
              </w:r>
            </w:hyperlink>
            <w:r>
              <w:t xml:space="preserve"> </w:t>
            </w:r>
            <w:r w:rsidR="00E3008E">
              <w:t xml:space="preserve">(ASC) </w:t>
            </w:r>
            <w:r>
              <w:t>receive</w:t>
            </w:r>
            <w:r w:rsidR="00E3008E">
              <w:t>s</w:t>
            </w:r>
            <w:r>
              <w:t xml:space="preserve"> a complaint, Advertising Standards staff performs an initial evaluation and, if a potential infraction is identified, notifies the advertiser. The complaint then gets passed on to the Standards Council, who issues a decision.</w:t>
            </w:r>
            <w:r w:rsidR="00E3008E">
              <w:t xml:space="preserve"> The </w:t>
            </w:r>
            <w:r w:rsidR="009D7ABE">
              <w:t>c</w:t>
            </w:r>
            <w:r w:rsidR="00E3008E">
              <w:t>omplainant</w:t>
            </w:r>
            <w:r w:rsidR="00CB0E33">
              <w:t>,</w:t>
            </w:r>
            <w:r w:rsidR="00E3008E">
              <w:t xml:space="preserve"> </w:t>
            </w:r>
            <w:r w:rsidR="009D7ABE">
              <w:t>or the advertiser</w:t>
            </w:r>
            <w:r w:rsidR="00AD47EE">
              <w:t>,</w:t>
            </w:r>
            <w:r w:rsidR="009D7ABE">
              <w:t xml:space="preserve"> </w:t>
            </w:r>
            <w:r w:rsidR="00CB0E33">
              <w:t>have a right to appeal. ASC makes case summaries public for educational purposes and can identify advertisers in some cases. In cases</w:t>
            </w:r>
            <w:r w:rsidR="00AD47EE">
              <w:t xml:space="preserve"> of</w:t>
            </w:r>
            <w:r w:rsidR="00CB0E33">
              <w:t xml:space="preserve"> non-compliance, ASC can contact the media outlets publicising the advertisement to stop its dissemination, make the breach of the </w:t>
            </w:r>
            <w:proofErr w:type="gramStart"/>
            <w:r w:rsidR="00CB0E33">
              <w:t>rules</w:t>
            </w:r>
            <w:proofErr w:type="gramEnd"/>
            <w:r w:rsidR="00CB0E33">
              <w:t xml:space="preserve"> public, and/or </w:t>
            </w:r>
            <w:r>
              <w:t>notify</w:t>
            </w:r>
            <w:r w:rsidR="00CB0E33">
              <w:t xml:space="preserve"> relevant</w:t>
            </w:r>
            <w:r>
              <w:t xml:space="preserve"> regulatory authorities</w:t>
            </w:r>
            <w:r w:rsidR="00CB0E33">
              <w:t xml:space="preserve"> (</w:t>
            </w:r>
            <w:hyperlink r:id="rId86" w:history="1">
              <w:r w:rsidR="00CB0E33">
                <w:rPr>
                  <w:rStyle w:val="Hyperlink"/>
                </w:rPr>
                <w:t xml:space="preserve">ASC </w:t>
              </w:r>
              <w:r w:rsidR="00CB0E33" w:rsidRPr="005D5B55">
                <w:rPr>
                  <w:rStyle w:val="Hyperlink"/>
                </w:rPr>
                <w:t>n.d.</w:t>
              </w:r>
            </w:hyperlink>
            <w:r w:rsidR="00CB0E33">
              <w:t>).</w:t>
            </w:r>
          </w:p>
        </w:tc>
      </w:tr>
      <w:tr w:rsidR="0020611B" w:rsidRPr="006E4E36" w14:paraId="7A8205D2"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20611B" w:rsidRPr="006E4E36" w:rsidRDefault="0020611B" w:rsidP="0020611B">
            <w:pPr>
              <w:rPr>
                <w:color w:val="747474" w:themeColor="background2" w:themeShade="80"/>
              </w:rPr>
            </w:pPr>
            <w:r w:rsidRPr="006E4E36">
              <w:rPr>
                <w:color w:val="747474" w:themeColor="background2" w:themeShade="80"/>
              </w:rPr>
              <w:t>5.19</w:t>
            </w:r>
          </w:p>
        </w:tc>
        <w:tc>
          <w:tcPr>
            <w:tcW w:w="2192" w:type="dxa"/>
          </w:tcPr>
          <w:p w14:paraId="59B22408" w14:textId="360C1CF0"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Are the SRO decisions reported?</w:t>
            </w:r>
          </w:p>
        </w:tc>
        <w:tc>
          <w:tcPr>
            <w:tcW w:w="2117" w:type="dxa"/>
          </w:tcPr>
          <w:p w14:paraId="221D24DE" w14:textId="77777777" w:rsidR="0020611B" w:rsidRPr="006E4E36" w:rsidRDefault="0020611B" w:rsidP="002061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531C29F2" w14:textId="0EA4C234" w:rsidR="0020611B" w:rsidRPr="006E4E36" w:rsidRDefault="00AD47EE" w:rsidP="0020611B">
            <w:pPr>
              <w:cnfStyle w:val="000000100000" w:firstRow="0" w:lastRow="0" w:firstColumn="0" w:lastColumn="0" w:oddVBand="0" w:evenVBand="0" w:oddHBand="1" w:evenHBand="0" w:firstRowFirstColumn="0" w:firstRowLastColumn="0" w:lastRowFirstColumn="0" w:lastRowLastColumn="0"/>
            </w:pPr>
            <w:r>
              <w:t xml:space="preserve">Yes, </w:t>
            </w:r>
            <w:hyperlink r:id="rId87" w:history="1">
              <w:r w:rsidRPr="001B2B13">
                <w:rPr>
                  <w:rStyle w:val="Hyperlink"/>
                </w:rPr>
                <w:t>Advertising Standards—Canada</w:t>
              </w:r>
            </w:hyperlink>
            <w:r>
              <w:t xml:space="preserve"> (ASC) makes case summaries public for educational purposes and can identify advertisers in some cases. In cases of non-compliance, ASC can publicise the breach (</w:t>
            </w:r>
            <w:hyperlink r:id="rId88" w:history="1">
              <w:r>
                <w:rPr>
                  <w:rStyle w:val="Hyperlink"/>
                </w:rPr>
                <w:t xml:space="preserve">ASC </w:t>
              </w:r>
              <w:r w:rsidRPr="005D5B55">
                <w:rPr>
                  <w:rStyle w:val="Hyperlink"/>
                </w:rPr>
                <w:t>n.d.</w:t>
              </w:r>
            </w:hyperlink>
            <w:r>
              <w:t>).</w:t>
            </w:r>
          </w:p>
        </w:tc>
      </w:tr>
      <w:tr w:rsidR="0020611B" w:rsidRPr="006E4E36" w14:paraId="13B33A5E"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20611B" w:rsidRPr="006E4E36" w:rsidRDefault="0020611B" w:rsidP="0020611B">
            <w:pPr>
              <w:rPr>
                <w:color w:val="747474" w:themeColor="background2" w:themeShade="80"/>
              </w:rPr>
            </w:pPr>
            <w:r w:rsidRPr="006E4E36">
              <w:rPr>
                <w:color w:val="747474" w:themeColor="background2" w:themeShade="80"/>
              </w:rPr>
              <w:t>5.20</w:t>
            </w:r>
          </w:p>
        </w:tc>
        <w:tc>
          <w:tcPr>
            <w:tcW w:w="2192" w:type="dxa"/>
          </w:tcPr>
          <w:p w14:paraId="100C2B2D" w14:textId="23D3F799"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r w:rsidRPr="006E4E36">
              <w:t>Is the self-regulation system widely used and followed?</w:t>
            </w:r>
          </w:p>
        </w:tc>
        <w:tc>
          <w:tcPr>
            <w:tcW w:w="2117" w:type="dxa"/>
          </w:tcPr>
          <w:p w14:paraId="3DE120B5" w14:textId="77777777" w:rsidR="0020611B" w:rsidRPr="006E4E36" w:rsidRDefault="0020611B" w:rsidP="002061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00B0A4E9" w14:textId="6B441106" w:rsidR="0020611B" w:rsidRPr="006E4E36" w:rsidRDefault="00AD47EE" w:rsidP="00AD47EE">
            <w:pPr>
              <w:cnfStyle w:val="000000000000" w:firstRow="0" w:lastRow="0" w:firstColumn="0" w:lastColumn="0" w:oddVBand="0" w:evenVBand="0" w:oddHBand="0" w:evenHBand="0" w:firstRowFirstColumn="0" w:firstRowLastColumn="0" w:lastRowFirstColumn="0" w:lastRowLastColumn="0"/>
            </w:pPr>
            <w:r>
              <w:t xml:space="preserve">According to Professor </w:t>
            </w:r>
            <w:r w:rsidRPr="00AD47EE">
              <w:t xml:space="preserve">Dwayne </w:t>
            </w:r>
            <w:proofErr w:type="spellStart"/>
            <w:r w:rsidRPr="00AD47EE">
              <w:t>Winseck</w:t>
            </w:r>
            <w:proofErr w:type="spellEnd"/>
            <w:r>
              <w:t xml:space="preserve">, </w:t>
            </w:r>
            <w:hyperlink r:id="rId89" w:history="1">
              <w:r w:rsidRPr="001B2B13">
                <w:rPr>
                  <w:rStyle w:val="Hyperlink"/>
                </w:rPr>
                <w:t>Advertising Standards—Canada</w:t>
              </w:r>
            </w:hyperlink>
            <w:r>
              <w:t xml:space="preserve"> (ASC) is an institution without</w:t>
            </w:r>
            <w:r w:rsidR="0020611B" w:rsidRPr="00940ED1">
              <w:t xml:space="preserve"> much influence or authority</w:t>
            </w:r>
            <w:r>
              <w:t xml:space="preserve"> (</w:t>
            </w:r>
            <w:proofErr w:type="spellStart"/>
            <w:r>
              <w:t>Winseck</w:t>
            </w:r>
            <w:proofErr w:type="spellEnd"/>
            <w:r>
              <w:t xml:space="preserve"> 2023)</w:t>
            </w:r>
            <w:r w:rsidR="0020611B" w:rsidRPr="00940ED1">
              <w:t>.</w:t>
            </w:r>
            <w:r>
              <w:t xml:space="preserve"> GALA claims that the awareness of ASC amongst consumers keeps growing and that the industry appreciates the efficiency and confidentiality of the system, which gives it a strong position as an alternative to the courts system (GALA 2024: 169).</w:t>
            </w:r>
          </w:p>
        </w:tc>
      </w:tr>
      <w:tr w:rsidR="0020611B" w:rsidRPr="006E4E36" w14:paraId="37CE476E"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20611B" w:rsidRPr="006E4E36" w:rsidRDefault="0020611B" w:rsidP="0020611B">
            <w:pPr>
              <w:rPr>
                <w:color w:val="747474" w:themeColor="background2" w:themeShade="80"/>
              </w:rPr>
            </w:pPr>
            <w:r w:rsidRPr="006E4E36">
              <w:rPr>
                <w:color w:val="747474" w:themeColor="background2" w:themeShade="80"/>
              </w:rPr>
              <w:t>5.21</w:t>
            </w:r>
          </w:p>
        </w:tc>
        <w:tc>
          <w:tcPr>
            <w:tcW w:w="2192" w:type="dxa"/>
          </w:tcPr>
          <w:p w14:paraId="0A744E4E" w14:textId="77777777"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What is the evidence of (non)/compliance with adjudications/ decisions?</w:t>
            </w:r>
          </w:p>
          <w:p w14:paraId="6E68B5A2" w14:textId="2AECAFC6"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What is the (quality of) evidence of contestation of self-regulatory system’s decisions?</w:t>
            </w:r>
          </w:p>
        </w:tc>
        <w:tc>
          <w:tcPr>
            <w:tcW w:w="2117" w:type="dxa"/>
          </w:tcPr>
          <w:p w14:paraId="420CE776" w14:textId="77777777" w:rsidR="0020611B" w:rsidRPr="006E4E36" w:rsidRDefault="0020611B" w:rsidP="002061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04186B05" w14:textId="0425A9A0" w:rsidR="0020611B" w:rsidRPr="006E4E36" w:rsidRDefault="00AD47EE" w:rsidP="0020611B">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r w:rsidR="0020611B" w:rsidRPr="006E4E36" w14:paraId="7E646927" w14:textId="77777777" w:rsidTr="0020611B">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20611B" w:rsidRPr="006E4E36" w:rsidRDefault="0020611B" w:rsidP="0020611B">
            <w:pPr>
              <w:rPr>
                <w:color w:val="747474" w:themeColor="background2" w:themeShade="80"/>
              </w:rPr>
            </w:pPr>
            <w:r w:rsidRPr="006E4E36">
              <w:rPr>
                <w:color w:val="747474" w:themeColor="background2" w:themeShade="80"/>
              </w:rPr>
              <w:t>5.22</w:t>
            </w:r>
          </w:p>
        </w:tc>
        <w:tc>
          <w:tcPr>
            <w:tcW w:w="2192" w:type="dxa"/>
          </w:tcPr>
          <w:p w14:paraId="78ABDDFB" w14:textId="7DEBE176" w:rsidR="0020611B" w:rsidRPr="006E4E36" w:rsidRDefault="0020611B" w:rsidP="0020611B">
            <w:pPr>
              <w:pStyle w:val="Subjectcolumntext"/>
              <w:cnfStyle w:val="000000000000" w:firstRow="0" w:lastRow="0" w:firstColumn="0" w:lastColumn="0" w:oddVBand="0" w:evenVBand="0" w:oddHBand="0" w:evenHBand="0" w:firstRowFirstColumn="0" w:firstRowLastColumn="0" w:lastRowFirstColumn="0" w:lastRowLastColumn="0"/>
            </w:pPr>
            <w:r w:rsidRPr="006E4E36">
              <w:t>SRO Environment (2020-2025)</w:t>
            </w:r>
          </w:p>
        </w:tc>
        <w:tc>
          <w:tcPr>
            <w:tcW w:w="2117" w:type="dxa"/>
          </w:tcPr>
          <w:p w14:paraId="746FE94E" w14:textId="77777777" w:rsidR="0020611B" w:rsidRPr="006E4E36" w:rsidRDefault="0020611B" w:rsidP="002061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045650BF" w14:textId="33E917EC" w:rsidR="0020611B" w:rsidRPr="006E4E36" w:rsidRDefault="00AD47EE" w:rsidP="002061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20611B" w:rsidRPr="006E4E36" w14:paraId="39703162" w14:textId="77777777" w:rsidTr="0020611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20611B" w:rsidRPr="006E4E36" w:rsidRDefault="0020611B" w:rsidP="0020611B">
            <w:pPr>
              <w:rPr>
                <w:color w:val="747474" w:themeColor="background2" w:themeShade="80"/>
              </w:rPr>
            </w:pPr>
            <w:r w:rsidRPr="006E4E36">
              <w:rPr>
                <w:color w:val="747474" w:themeColor="background2" w:themeShade="80"/>
              </w:rPr>
              <w:t>5.23</w:t>
            </w:r>
          </w:p>
        </w:tc>
        <w:tc>
          <w:tcPr>
            <w:tcW w:w="2192" w:type="dxa"/>
          </w:tcPr>
          <w:p w14:paraId="2FE7805B" w14:textId="14AA6ED6" w:rsidR="0020611B" w:rsidRPr="006E4E36" w:rsidRDefault="0020611B" w:rsidP="0020611B">
            <w:pPr>
              <w:pStyle w:val="Subjectcolumntext"/>
              <w:cnfStyle w:val="000000100000" w:firstRow="0" w:lastRow="0" w:firstColumn="0" w:lastColumn="0" w:oddVBand="0" w:evenVBand="0" w:oddHBand="1" w:evenHBand="0" w:firstRowFirstColumn="0" w:firstRowLastColumn="0" w:lastRowFirstColumn="0" w:lastRowLastColumn="0"/>
            </w:pPr>
            <w:r w:rsidRPr="006E4E36">
              <w:t>Ranking</w:t>
            </w:r>
          </w:p>
        </w:tc>
        <w:tc>
          <w:tcPr>
            <w:tcW w:w="2117" w:type="dxa"/>
          </w:tcPr>
          <w:p w14:paraId="5F33DD6D" w14:textId="77777777" w:rsidR="0020611B" w:rsidRPr="006E4E36" w:rsidRDefault="0020611B" w:rsidP="002061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63C28B8B" w14:textId="10478670" w:rsidR="0020611B" w:rsidRPr="006E4E36" w:rsidRDefault="00AD47EE" w:rsidP="0020611B">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bl>
    <w:p w14:paraId="0CEAD6DF" w14:textId="271BA31D" w:rsidR="005D4AEB" w:rsidRPr="006E4E36" w:rsidRDefault="005D4AEB" w:rsidP="005D4AEB">
      <w:pPr>
        <w:pStyle w:val="SubtitleH2"/>
        <w:rPr>
          <w:rFonts w:eastAsiaTheme="minorEastAsia"/>
          <w:iCs/>
          <w:color w:val="000000" w:themeColor="text1"/>
          <w:sz w:val="24"/>
          <w:szCs w:val="24"/>
          <w:shd w:val="clear" w:color="auto" w:fill="auto"/>
        </w:rPr>
      </w:pPr>
      <w:r w:rsidRPr="006E4E36">
        <w:t>Sections 6-14 Advertising Framework</w:t>
      </w:r>
    </w:p>
    <w:p w14:paraId="2841DD77" w14:textId="46F44066" w:rsidR="005D4AEB" w:rsidRPr="006E4E36" w:rsidRDefault="003A19BC" w:rsidP="003A19BC">
      <w:pPr>
        <w:pStyle w:val="SectionHead"/>
        <w:rPr>
          <w:rFonts w:cs="Arial"/>
        </w:rPr>
      </w:pPr>
      <w:bookmarkStart w:id="8" w:name="_Toc172573288"/>
      <w:r w:rsidRPr="006E4E36">
        <w:rPr>
          <w:rFonts w:cs="Arial"/>
        </w:rPr>
        <w:lastRenderedPageBreak/>
        <w:t>Branded Content: General legal and regulatory framework</w:t>
      </w:r>
      <w:bookmarkEnd w:id="8"/>
      <w:r w:rsidR="005D4AEB"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6E4E36"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6E4E36" w:rsidRDefault="005D4AEB" w:rsidP="00CB46D4">
            <w:pPr>
              <w:pStyle w:val="Tableheadings"/>
              <w:spacing w:line="240" w:lineRule="auto"/>
              <w:rPr>
                <w:b/>
                <w:bCs/>
              </w:rPr>
            </w:pPr>
            <w:r w:rsidRPr="006E4E36">
              <w:rPr>
                <w:b/>
                <w:bCs/>
              </w:rPr>
              <w:t>Item</w:t>
            </w:r>
          </w:p>
        </w:tc>
        <w:tc>
          <w:tcPr>
            <w:tcW w:w="2126" w:type="dxa"/>
            <w:tcBorders>
              <w:bottom w:val="none" w:sz="0" w:space="0" w:color="auto"/>
            </w:tcBorders>
          </w:tcPr>
          <w:p w14:paraId="1D295499" w14:textId="77777777" w:rsidR="005D4AEB" w:rsidRPr="006E4E3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559F44AE" w14:textId="77777777" w:rsidR="005D4AEB" w:rsidRPr="006E4E3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 xml:space="preserve">Classification </w:t>
            </w:r>
          </w:p>
        </w:tc>
        <w:tc>
          <w:tcPr>
            <w:tcW w:w="5670" w:type="dxa"/>
            <w:tcBorders>
              <w:bottom w:val="none" w:sz="0" w:space="0" w:color="auto"/>
            </w:tcBorders>
          </w:tcPr>
          <w:p w14:paraId="5A1AA28C" w14:textId="77777777" w:rsidR="005D4AEB" w:rsidRPr="006E4E36"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Description</w:t>
            </w:r>
          </w:p>
        </w:tc>
      </w:tr>
      <w:tr w:rsidR="005D4AEB" w:rsidRPr="006E4E36"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6E4E36" w:rsidRDefault="003A19BC" w:rsidP="00CB46D4">
            <w:pPr>
              <w:rPr>
                <w:b w:val="0"/>
                <w:bCs w:val="0"/>
                <w:color w:val="747474" w:themeColor="background2" w:themeShade="80"/>
              </w:rPr>
            </w:pPr>
            <w:r w:rsidRPr="006E4E36">
              <w:rPr>
                <w:color w:val="747474" w:themeColor="background2" w:themeShade="80"/>
              </w:rPr>
              <w:t>6</w:t>
            </w:r>
            <w:r w:rsidR="005D4AEB" w:rsidRPr="006E4E36">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6E4E36"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Are there general rules on identification of marketing communications? What?</w:t>
            </w:r>
          </w:p>
        </w:tc>
        <w:tc>
          <w:tcPr>
            <w:tcW w:w="2127" w:type="dxa"/>
            <w:tcBorders>
              <w:top w:val="none" w:sz="0" w:space="0" w:color="auto"/>
              <w:bottom w:val="none" w:sz="0" w:space="0" w:color="auto"/>
            </w:tcBorders>
          </w:tcPr>
          <w:p w14:paraId="33B7CE76" w14:textId="77777777" w:rsidR="005D4AEB" w:rsidRPr="00CD53F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p w14:paraId="79BFC67F" w14:textId="77777777" w:rsidR="00E6468C" w:rsidRPr="00CD53FA" w:rsidRDefault="00E6468C" w:rsidP="00CB46D4">
            <w:pPr>
              <w:pStyle w:val="Classificationcolumntext"/>
              <w:cnfStyle w:val="000000100000" w:firstRow="0" w:lastRow="0" w:firstColumn="0" w:lastColumn="0" w:oddVBand="0" w:evenVBand="0" w:oddHBand="1" w:evenHBand="0" w:firstRowFirstColumn="0" w:firstRowLastColumn="0" w:lastRowFirstColumn="0" w:lastRowLastColumn="0"/>
            </w:pPr>
          </w:p>
          <w:p w14:paraId="4B8ED8B1" w14:textId="2D78436F" w:rsidR="00E6468C" w:rsidRPr="00CD53FA" w:rsidRDefault="00E6468C"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B5B6FE6" w14:textId="23EB3028" w:rsidR="00E6468C" w:rsidRPr="00CD53FA" w:rsidRDefault="00000000" w:rsidP="00E646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hyperlink r:id="rId90" w:tgtFrame="_blank" w:history="1">
              <w:r w:rsidR="00E6468C" w:rsidRPr="00CD53FA">
                <w:rPr>
                  <w:rStyle w:val="normaltextrun"/>
                  <w:rFonts w:ascii="Arial" w:eastAsiaTheme="majorEastAsia" w:hAnsi="Arial" w:cs="Arial"/>
                  <w:color w:val="0563C1"/>
                  <w:sz w:val="22"/>
                  <w:szCs w:val="22"/>
                  <w:u w:val="single"/>
                </w:rPr>
                <w:t>The Competition Act</w:t>
              </w:r>
            </w:hyperlink>
            <w:r w:rsidR="00E6468C" w:rsidRPr="00CD53FA">
              <w:rPr>
                <w:rStyle w:val="normaltextrun"/>
                <w:rFonts w:ascii="Arial" w:eastAsiaTheme="majorEastAsia" w:hAnsi="Arial" w:cs="Arial"/>
                <w:sz w:val="22"/>
                <w:szCs w:val="22"/>
              </w:rPr>
              <w:t xml:space="preserve"> (R.S.C., 1985, c. C-34, as revised in 2023) is the primary legal document regulating advertising in Canada, which governs misleading representations. The Act contains the </w:t>
            </w:r>
            <w:r w:rsidR="00E6468C" w:rsidRPr="00CD53FA">
              <w:rPr>
                <w:rStyle w:val="eop"/>
                <w:rFonts w:ascii="Arial" w:eastAsiaTheme="majorEastAsia" w:hAnsi="Arial" w:cs="Arial"/>
                <w:sz w:val="22"/>
                <w:szCs w:val="22"/>
              </w:rPr>
              <w:t>basic prohibition against false, misleading</w:t>
            </w:r>
            <w:r w:rsidR="00CD53FA" w:rsidRPr="00CD53FA">
              <w:rPr>
                <w:rStyle w:val="eop"/>
                <w:rFonts w:ascii="Arial" w:eastAsiaTheme="majorEastAsia" w:hAnsi="Arial" w:cs="Arial"/>
                <w:sz w:val="22"/>
                <w:szCs w:val="22"/>
              </w:rPr>
              <w:t>,</w:t>
            </w:r>
            <w:r w:rsidR="00E6468C" w:rsidRPr="00CD53FA">
              <w:rPr>
                <w:rStyle w:val="eop"/>
                <w:rFonts w:ascii="Arial" w:eastAsiaTheme="majorEastAsia" w:hAnsi="Arial" w:cs="Arial"/>
                <w:sz w:val="22"/>
                <w:szCs w:val="22"/>
              </w:rPr>
              <w:t xml:space="preserve"> or otherwise deceptive marketing practices, which include any type of </w:t>
            </w:r>
            <w:r w:rsidR="00CD53FA" w:rsidRPr="00CD53FA">
              <w:rPr>
                <w:rStyle w:val="eop"/>
                <w:rFonts w:ascii="Arial" w:eastAsiaTheme="majorEastAsia" w:hAnsi="Arial" w:cs="Arial"/>
                <w:sz w:val="22"/>
                <w:szCs w:val="22"/>
              </w:rPr>
              <w:t xml:space="preserve">advertising, or </w:t>
            </w:r>
            <w:r w:rsidR="00E6468C" w:rsidRPr="00CD53FA">
              <w:rPr>
                <w:rStyle w:val="eop"/>
                <w:rFonts w:ascii="Arial" w:eastAsiaTheme="majorEastAsia" w:hAnsi="Arial" w:cs="Arial"/>
                <w:sz w:val="22"/>
                <w:szCs w:val="22"/>
              </w:rPr>
              <w:t>sponsored content (testimonials, reviews, endorsements</w:t>
            </w:r>
            <w:r w:rsidR="00CD53FA" w:rsidRPr="00CD53FA">
              <w:rPr>
                <w:rStyle w:val="eop"/>
                <w:rFonts w:ascii="Arial" w:eastAsiaTheme="majorEastAsia" w:hAnsi="Arial" w:cs="Arial"/>
                <w:sz w:val="22"/>
                <w:szCs w:val="22"/>
              </w:rPr>
              <w:t>,</w:t>
            </w:r>
            <w:r w:rsidR="00E6468C" w:rsidRPr="00CD53FA">
              <w:rPr>
                <w:rStyle w:val="eop"/>
                <w:rFonts w:ascii="Arial" w:eastAsiaTheme="majorEastAsia" w:hAnsi="Arial" w:cs="Arial"/>
                <w:sz w:val="22"/>
                <w:szCs w:val="22"/>
              </w:rPr>
              <w:t xml:space="preserve"> </w:t>
            </w:r>
            <w:r w:rsidR="00CD53FA" w:rsidRPr="00CD53FA">
              <w:rPr>
                <w:rStyle w:val="eop"/>
                <w:rFonts w:ascii="Arial" w:eastAsiaTheme="majorEastAsia" w:hAnsi="Arial" w:cs="Arial"/>
                <w:sz w:val="22"/>
                <w:szCs w:val="22"/>
              </w:rPr>
              <w:t>any expressions of</w:t>
            </w:r>
            <w:r w:rsidR="00E6468C" w:rsidRPr="00CD53FA">
              <w:rPr>
                <w:rStyle w:val="eop"/>
                <w:rFonts w:ascii="Arial" w:eastAsiaTheme="majorEastAsia" w:hAnsi="Arial" w:cs="Arial"/>
                <w:sz w:val="22"/>
                <w:szCs w:val="22"/>
              </w:rPr>
              <w:t xml:space="preserve"> opinion</w:t>
            </w:r>
            <w:r w:rsidR="00CD53FA" w:rsidRPr="00CD53FA">
              <w:rPr>
                <w:rStyle w:val="eop"/>
                <w:rFonts w:ascii="Arial" w:eastAsiaTheme="majorEastAsia" w:hAnsi="Arial" w:cs="Arial"/>
                <w:sz w:val="22"/>
                <w:szCs w:val="22"/>
              </w:rPr>
              <w:t>s</w:t>
            </w:r>
            <w:r w:rsidR="00E6468C" w:rsidRPr="00CD53FA">
              <w:rPr>
                <w:rStyle w:val="eop"/>
                <w:rFonts w:ascii="Arial" w:eastAsiaTheme="majorEastAsia" w:hAnsi="Arial" w:cs="Arial"/>
                <w:sz w:val="22"/>
                <w:szCs w:val="22"/>
              </w:rPr>
              <w:t xml:space="preserve"> or preference</w:t>
            </w:r>
            <w:r w:rsidR="00CD53FA" w:rsidRPr="00CD53FA">
              <w:rPr>
                <w:rStyle w:val="eop"/>
                <w:rFonts w:ascii="Arial" w:eastAsiaTheme="majorEastAsia" w:hAnsi="Arial" w:cs="Arial"/>
                <w:sz w:val="22"/>
                <w:szCs w:val="22"/>
              </w:rPr>
              <w:t>s</w:t>
            </w:r>
            <w:r w:rsidR="00E6468C" w:rsidRPr="00CD53FA">
              <w:rPr>
                <w:rStyle w:val="eop"/>
                <w:rFonts w:ascii="Arial" w:eastAsiaTheme="majorEastAsia" w:hAnsi="Arial" w:cs="Arial"/>
                <w:sz w:val="22"/>
                <w:szCs w:val="22"/>
              </w:rPr>
              <w:t>) (</w:t>
            </w:r>
            <w:hyperlink r:id="rId91" w:history="1">
              <w:r w:rsidR="00E6468C" w:rsidRPr="00CD53FA">
                <w:rPr>
                  <w:rStyle w:val="Hyperlink"/>
                  <w:rFonts w:ascii="Arial" w:eastAsiaTheme="majorEastAsia" w:hAnsi="Arial" w:cs="Arial"/>
                  <w:sz w:val="22"/>
                  <w:szCs w:val="22"/>
                </w:rPr>
                <w:t>Harrison, Iatrou, Francis, Bouras 2023</w:t>
              </w:r>
            </w:hyperlink>
            <w:r w:rsidR="00E6468C" w:rsidRPr="00CD53FA">
              <w:rPr>
                <w:rStyle w:val="eop"/>
                <w:rFonts w:ascii="Arial" w:eastAsiaTheme="majorEastAsia" w:hAnsi="Arial" w:cs="Arial"/>
                <w:sz w:val="22"/>
                <w:szCs w:val="22"/>
              </w:rPr>
              <w:t>).</w:t>
            </w:r>
          </w:p>
          <w:p w14:paraId="53A4DD12" w14:textId="76C1DEAB" w:rsidR="00E6468C" w:rsidRPr="00CD53FA" w:rsidRDefault="00E6468C" w:rsidP="00E646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p>
          <w:p w14:paraId="06882BE1" w14:textId="1A9CE930" w:rsidR="00E6468C" w:rsidRPr="00CD53FA" w:rsidRDefault="00000000" w:rsidP="00E646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92" w:history="1">
              <w:r w:rsidR="00E6468C" w:rsidRPr="00CD53FA">
                <w:rPr>
                  <w:rStyle w:val="Hyperlink"/>
                  <w:rFonts w:ascii="Arial" w:hAnsi="Arial" w:cs="Arial"/>
                  <w:sz w:val="22"/>
                  <w:szCs w:val="22"/>
                </w:rPr>
                <w:t>Advertising Standards—Canada</w:t>
              </w:r>
            </w:hyperlink>
            <w:r w:rsidR="00E6468C" w:rsidRPr="00CD53FA">
              <w:rPr>
                <w:rFonts w:ascii="Arial" w:hAnsi="Arial" w:cs="Arial"/>
                <w:sz w:val="22"/>
                <w:szCs w:val="22"/>
              </w:rPr>
              <w:t xml:space="preserve"> (ASC)</w:t>
            </w:r>
            <w:r w:rsidR="00CD53FA" w:rsidRPr="00CD53FA">
              <w:rPr>
                <w:rFonts w:ascii="Arial" w:hAnsi="Arial" w:cs="Arial"/>
                <w:sz w:val="22"/>
                <w:szCs w:val="22"/>
              </w:rPr>
              <w:t>,</w:t>
            </w:r>
            <w:r w:rsidR="00E6468C" w:rsidRPr="00CD53FA">
              <w:rPr>
                <w:rFonts w:ascii="Arial" w:hAnsi="Arial" w:cs="Arial"/>
                <w:sz w:val="22"/>
                <w:szCs w:val="22"/>
              </w:rPr>
              <w:t xml:space="preserve"> the main advertising self-regulatory organisation in Canada</w:t>
            </w:r>
            <w:r w:rsidR="00CD53FA" w:rsidRPr="00CD53FA">
              <w:rPr>
                <w:rFonts w:ascii="Arial" w:hAnsi="Arial" w:cs="Arial"/>
                <w:sz w:val="22"/>
                <w:szCs w:val="22"/>
              </w:rPr>
              <w:t>,</w:t>
            </w:r>
            <w:r w:rsidR="00E6468C" w:rsidRPr="00CD53FA">
              <w:rPr>
                <w:rFonts w:ascii="Arial" w:hAnsi="Arial" w:cs="Arial"/>
                <w:sz w:val="22"/>
                <w:szCs w:val="22"/>
              </w:rPr>
              <w:t xml:space="preserve"> produced the </w:t>
            </w:r>
            <w:hyperlink r:id="rId93" w:history="1">
              <w:r w:rsidR="00E6468C" w:rsidRPr="00CD53FA">
                <w:rPr>
                  <w:rStyle w:val="Hyperlink"/>
                  <w:rFonts w:ascii="Arial" w:hAnsi="Arial" w:cs="Arial"/>
                  <w:sz w:val="22"/>
                  <w:szCs w:val="22"/>
                </w:rPr>
                <w:t>Canadian Code of Advertising Standards</w:t>
              </w:r>
            </w:hyperlink>
            <w:r w:rsidR="00E6468C" w:rsidRPr="00CD53FA">
              <w:rPr>
                <w:rFonts w:ascii="Arial" w:hAnsi="Arial" w:cs="Arial"/>
                <w:sz w:val="22"/>
                <w:szCs w:val="22"/>
              </w:rPr>
              <w:t xml:space="preserve"> containing</w:t>
            </w:r>
            <w:r w:rsidR="00CD53FA" w:rsidRPr="00CD53FA">
              <w:rPr>
                <w:rFonts w:ascii="Arial" w:hAnsi="Arial" w:cs="Arial"/>
                <w:sz w:val="22"/>
                <w:szCs w:val="22"/>
              </w:rPr>
              <w:t xml:space="preserve"> Provision 2, </w:t>
            </w:r>
            <w:r w:rsidR="003352FE">
              <w:rPr>
                <w:rFonts w:ascii="Arial" w:hAnsi="Arial" w:cs="Arial"/>
                <w:sz w:val="22"/>
                <w:szCs w:val="22"/>
              </w:rPr>
              <w:t xml:space="preserve">‘Disguised Advertising Techniques’, </w:t>
            </w:r>
            <w:r w:rsidR="00CD53FA" w:rsidRPr="00CD53FA">
              <w:rPr>
                <w:rFonts w:ascii="Arial" w:hAnsi="Arial" w:cs="Arial"/>
                <w:sz w:val="22"/>
                <w:szCs w:val="22"/>
              </w:rPr>
              <w:t xml:space="preserve">which states: ‘No advertisement shall be presented in a format or style that conceals the fact that it is an advertisement’ </w:t>
            </w:r>
            <w:r w:rsidR="00E6468C" w:rsidRPr="00CD53FA">
              <w:rPr>
                <w:rFonts w:ascii="Arial" w:hAnsi="Arial" w:cs="Arial"/>
                <w:sz w:val="22"/>
                <w:szCs w:val="22"/>
              </w:rPr>
              <w:t>(</w:t>
            </w:r>
            <w:hyperlink r:id="rId94" w:history="1">
              <w:r w:rsidR="00E6468C" w:rsidRPr="00CD53FA">
                <w:rPr>
                  <w:rStyle w:val="Hyperlink"/>
                  <w:rFonts w:ascii="Arial" w:hAnsi="Arial" w:cs="Arial"/>
                  <w:sz w:val="22"/>
                  <w:szCs w:val="22"/>
                </w:rPr>
                <w:t>ASC 2019b</w:t>
              </w:r>
            </w:hyperlink>
            <w:r w:rsidR="00E6468C" w:rsidRPr="00CD53FA">
              <w:rPr>
                <w:rFonts w:ascii="Arial" w:hAnsi="Arial" w:cs="Arial"/>
                <w:sz w:val="22"/>
                <w:szCs w:val="22"/>
              </w:rPr>
              <w:t>).</w:t>
            </w:r>
          </w:p>
          <w:p w14:paraId="393223ED" w14:textId="539912EA" w:rsidR="00CD53FA" w:rsidRPr="00BE4FF7" w:rsidRDefault="00CD53FA" w:rsidP="00E6468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421BD42C" w14:textId="3CC00E40" w:rsidR="003D30DB" w:rsidRPr="00BE4FF7" w:rsidRDefault="00000000" w:rsidP="00BE4FF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95" w:history="1">
              <w:r w:rsidR="00BE4FF7" w:rsidRPr="00BE4FF7">
                <w:rPr>
                  <w:rStyle w:val="Hyperlink"/>
                  <w:rFonts w:ascii="Arial" w:hAnsi="Arial" w:cs="Arial"/>
                  <w:sz w:val="22"/>
                  <w:szCs w:val="22"/>
                </w:rPr>
                <w:t>T</w:t>
              </w:r>
              <w:r w:rsidR="00BE4FF7" w:rsidRPr="00BE4FF7">
                <w:rPr>
                  <w:rStyle w:val="Hyperlink"/>
                  <w:rFonts w:ascii="Arial" w:hAnsi="Arial" w:cs="Arial"/>
                </w:rPr>
                <w:t>he C</w:t>
              </w:r>
              <w:r w:rsidR="00CD53FA" w:rsidRPr="00BE4FF7">
                <w:rPr>
                  <w:rStyle w:val="Hyperlink"/>
                  <w:rFonts w:ascii="Arial" w:hAnsi="Arial" w:cs="Arial"/>
                  <w:sz w:val="22"/>
                  <w:szCs w:val="22"/>
                </w:rPr>
                <w:t>ompetition Bureau</w:t>
              </w:r>
            </w:hyperlink>
            <w:r w:rsidR="00CD53FA" w:rsidRPr="00BE4FF7">
              <w:rPr>
                <w:rFonts w:ascii="Arial" w:hAnsi="Arial" w:cs="Arial"/>
                <w:sz w:val="22"/>
                <w:szCs w:val="22"/>
              </w:rPr>
              <w:t xml:space="preserve"> can pursue administrative remedies in cases of misleading advertising and other deceptive</w:t>
            </w:r>
            <w:r w:rsidR="00CD53FA" w:rsidRPr="00CD53FA">
              <w:rPr>
                <w:rFonts w:ascii="Arial" w:hAnsi="Arial" w:cs="Arial"/>
                <w:sz w:val="22"/>
                <w:szCs w:val="22"/>
              </w:rPr>
              <w:t xml:space="preserve"> marketing practices under the federal </w:t>
            </w:r>
            <w:hyperlink r:id="rId96" w:history="1">
              <w:r w:rsidR="00CD53FA" w:rsidRPr="00CD53FA">
                <w:rPr>
                  <w:rStyle w:val="Hyperlink"/>
                  <w:rFonts w:ascii="Arial" w:hAnsi="Arial" w:cs="Arial"/>
                  <w:sz w:val="22"/>
                  <w:szCs w:val="22"/>
                </w:rPr>
                <w:t>Competition Act</w:t>
              </w:r>
            </w:hyperlink>
            <w:r w:rsidR="00CD53FA" w:rsidRPr="00CD53FA">
              <w:rPr>
                <w:rFonts w:ascii="Arial" w:hAnsi="Arial" w:cs="Arial"/>
                <w:sz w:val="22"/>
                <w:szCs w:val="22"/>
              </w:rPr>
              <w:t xml:space="preserve"> (</w:t>
            </w:r>
            <w:proofErr w:type="spellStart"/>
            <w:r w:rsidR="00CD53FA" w:rsidRPr="00CD53FA">
              <w:rPr>
                <w:rFonts w:ascii="Arial" w:hAnsi="Arial" w:cs="Arial"/>
                <w:sz w:val="22"/>
                <w:szCs w:val="22"/>
              </w:rPr>
              <w:fldChar w:fldCharType="begin"/>
            </w:r>
            <w:r w:rsidR="00CD53FA" w:rsidRPr="00CD53FA">
              <w:rPr>
                <w:rFonts w:ascii="Arial" w:hAnsi="Arial" w:cs="Arial"/>
                <w:sz w:val="22"/>
                <w:szCs w:val="22"/>
              </w:rPr>
              <w:instrText xml:space="preserve"> HYPERLINK "https://gowlingwlg.com/en/insights-resources/guides/2023/doing-business-in-canada-advertising/" </w:instrText>
            </w:r>
            <w:r w:rsidR="00CD53FA" w:rsidRPr="00CD53FA">
              <w:rPr>
                <w:rFonts w:ascii="Arial" w:hAnsi="Arial" w:cs="Arial"/>
                <w:sz w:val="22"/>
                <w:szCs w:val="22"/>
              </w:rPr>
            </w:r>
            <w:r w:rsidR="00CD53FA" w:rsidRPr="00CD53FA">
              <w:rPr>
                <w:rFonts w:ascii="Arial" w:hAnsi="Arial" w:cs="Arial"/>
                <w:sz w:val="22"/>
                <w:szCs w:val="22"/>
              </w:rPr>
              <w:fldChar w:fldCharType="separate"/>
            </w:r>
            <w:r w:rsidR="00CD53FA" w:rsidRPr="00CD53FA">
              <w:rPr>
                <w:rStyle w:val="Hyperlink"/>
                <w:rFonts w:ascii="Arial" w:hAnsi="Arial" w:cs="Arial"/>
                <w:sz w:val="22"/>
                <w:szCs w:val="22"/>
              </w:rPr>
              <w:t>Gowling</w:t>
            </w:r>
            <w:proofErr w:type="spellEnd"/>
            <w:r w:rsidR="00CD53FA" w:rsidRPr="00CD53FA">
              <w:rPr>
                <w:rStyle w:val="Hyperlink"/>
                <w:rFonts w:ascii="Arial" w:hAnsi="Arial" w:cs="Arial"/>
                <w:sz w:val="22"/>
                <w:szCs w:val="22"/>
              </w:rPr>
              <w:t xml:space="preserve"> WLG 2023</w:t>
            </w:r>
            <w:r w:rsidR="00CD53FA" w:rsidRPr="00CD53FA">
              <w:rPr>
                <w:rFonts w:ascii="Arial" w:hAnsi="Arial" w:cs="Arial"/>
                <w:sz w:val="22"/>
                <w:szCs w:val="22"/>
              </w:rPr>
              <w:fldChar w:fldCharType="end"/>
            </w:r>
            <w:r w:rsidR="00CD53FA" w:rsidRPr="00CD53FA">
              <w:rPr>
                <w:rFonts w:ascii="Arial" w:hAnsi="Arial" w:cs="Arial"/>
                <w:sz w:val="22"/>
                <w:szCs w:val="22"/>
              </w:rPr>
              <w:t>).</w:t>
            </w:r>
            <w:r w:rsidR="00CD53FA">
              <w:rPr>
                <w:rFonts w:ascii="Arial" w:hAnsi="Arial" w:cs="Arial"/>
                <w:sz w:val="22"/>
                <w:szCs w:val="22"/>
              </w:rPr>
              <w:t xml:space="preserve"> It produced </w:t>
            </w:r>
            <w:r w:rsidR="003D30DB" w:rsidRPr="00CD53FA">
              <w:rPr>
                <w:rFonts w:ascii="Arial" w:hAnsi="Arial" w:cs="Arial"/>
                <w:sz w:val="22"/>
                <w:szCs w:val="22"/>
              </w:rPr>
              <w:t xml:space="preserve">the </w:t>
            </w:r>
            <w:hyperlink r:id="rId97" w:history="1">
              <w:r w:rsidR="003D30DB" w:rsidRPr="00CD53FA">
                <w:rPr>
                  <w:rStyle w:val="Hyperlink"/>
                  <w:rFonts w:ascii="Arial" w:hAnsi="Arial" w:cs="Arial"/>
                  <w:sz w:val="22"/>
                  <w:szCs w:val="22"/>
                </w:rPr>
                <w:t>Competition Bureau's Deceptive Marketing Practices Digest</w:t>
              </w:r>
            </w:hyperlink>
            <w:r w:rsidR="003D30DB" w:rsidRPr="00CD53FA">
              <w:rPr>
                <w:rFonts w:ascii="Arial" w:hAnsi="Arial" w:cs="Arial"/>
                <w:sz w:val="22"/>
                <w:szCs w:val="22"/>
              </w:rPr>
              <w:t>, which</w:t>
            </w:r>
            <w:r w:rsidR="00CD53FA">
              <w:rPr>
                <w:rFonts w:ascii="Arial" w:hAnsi="Arial" w:cs="Arial"/>
                <w:sz w:val="22"/>
                <w:szCs w:val="22"/>
              </w:rPr>
              <w:t xml:space="preserve"> details the relevant rules, such as the requirement to</w:t>
            </w:r>
            <w:r w:rsidR="003D30DB" w:rsidRPr="00CD53FA">
              <w:rPr>
                <w:rFonts w:ascii="Arial" w:hAnsi="Arial" w:cs="Arial"/>
                <w:sz w:val="22"/>
                <w:szCs w:val="22"/>
              </w:rPr>
              <w:t xml:space="preserve"> disclose a</w:t>
            </w:r>
            <w:r w:rsidR="00CD53FA">
              <w:rPr>
                <w:rFonts w:ascii="Arial" w:hAnsi="Arial" w:cs="Arial"/>
                <w:sz w:val="22"/>
                <w:szCs w:val="22"/>
              </w:rPr>
              <w:t>ny</w:t>
            </w:r>
            <w:r w:rsidR="003D30DB" w:rsidRPr="00CD53FA">
              <w:rPr>
                <w:rFonts w:ascii="Arial" w:hAnsi="Arial" w:cs="Arial"/>
                <w:sz w:val="22"/>
                <w:szCs w:val="22"/>
              </w:rPr>
              <w:t xml:space="preserve"> </w:t>
            </w:r>
            <w:r w:rsidR="00CD53FA">
              <w:rPr>
                <w:rFonts w:ascii="Arial" w:hAnsi="Arial" w:cs="Arial"/>
                <w:sz w:val="22"/>
                <w:szCs w:val="22"/>
              </w:rPr>
              <w:t>‘</w:t>
            </w:r>
            <w:r w:rsidR="003D30DB" w:rsidRPr="00CD53FA">
              <w:rPr>
                <w:rFonts w:ascii="Arial" w:hAnsi="Arial" w:cs="Arial"/>
                <w:sz w:val="22"/>
                <w:szCs w:val="22"/>
              </w:rPr>
              <w:t>material connection</w:t>
            </w:r>
            <w:r w:rsidR="00CD53FA">
              <w:rPr>
                <w:rFonts w:ascii="Arial" w:hAnsi="Arial" w:cs="Arial"/>
                <w:sz w:val="22"/>
                <w:szCs w:val="22"/>
              </w:rPr>
              <w:t>’</w:t>
            </w:r>
            <w:r w:rsidR="003D30DB" w:rsidRPr="00CD53FA">
              <w:rPr>
                <w:rFonts w:ascii="Arial" w:hAnsi="Arial" w:cs="Arial"/>
                <w:sz w:val="22"/>
                <w:szCs w:val="22"/>
              </w:rPr>
              <w:t>,</w:t>
            </w:r>
            <w:r w:rsidR="00CD53FA">
              <w:rPr>
                <w:rFonts w:ascii="Arial" w:hAnsi="Arial" w:cs="Arial"/>
                <w:sz w:val="22"/>
                <w:szCs w:val="22"/>
              </w:rPr>
              <w:t xml:space="preserve"> also </w:t>
            </w:r>
            <w:r w:rsidR="003D30DB" w:rsidRPr="00CD53FA">
              <w:rPr>
                <w:rFonts w:ascii="Arial" w:hAnsi="Arial" w:cs="Arial"/>
                <w:sz w:val="22"/>
                <w:szCs w:val="22"/>
              </w:rPr>
              <w:t xml:space="preserve">in digital </w:t>
            </w:r>
            <w:r w:rsidR="003D30DB" w:rsidRPr="00BE4FF7">
              <w:rPr>
                <w:rFonts w:ascii="Arial" w:hAnsi="Arial" w:cs="Arial"/>
                <w:sz w:val="22"/>
                <w:szCs w:val="22"/>
              </w:rPr>
              <w:t>marketing</w:t>
            </w:r>
            <w:r w:rsidR="00CD53FA" w:rsidRPr="00BE4FF7">
              <w:rPr>
                <w:rFonts w:ascii="Arial" w:hAnsi="Arial" w:cs="Arial"/>
                <w:sz w:val="22"/>
                <w:szCs w:val="22"/>
              </w:rPr>
              <w:t>,</w:t>
            </w:r>
            <w:r w:rsidR="003D30DB" w:rsidRPr="00BE4FF7">
              <w:rPr>
                <w:rFonts w:ascii="Arial" w:hAnsi="Arial" w:cs="Arial"/>
                <w:sz w:val="22"/>
                <w:szCs w:val="22"/>
              </w:rPr>
              <w:t xml:space="preserve"> and</w:t>
            </w:r>
            <w:r w:rsidR="00CD53FA" w:rsidRPr="00BE4FF7">
              <w:rPr>
                <w:rFonts w:ascii="Arial" w:hAnsi="Arial" w:cs="Arial"/>
                <w:sz w:val="22"/>
                <w:szCs w:val="22"/>
              </w:rPr>
              <w:t xml:space="preserve"> provides guidelines helping</w:t>
            </w:r>
            <w:r w:rsidR="003D30DB" w:rsidRPr="00BE4FF7">
              <w:rPr>
                <w:rFonts w:ascii="Arial" w:hAnsi="Arial" w:cs="Arial"/>
                <w:sz w:val="22"/>
                <w:szCs w:val="22"/>
              </w:rPr>
              <w:t xml:space="preserve"> to avoid deceptive practices such as </w:t>
            </w:r>
            <w:r w:rsidR="00CD53FA" w:rsidRPr="00BE4FF7">
              <w:rPr>
                <w:rFonts w:ascii="Arial" w:hAnsi="Arial" w:cs="Arial"/>
                <w:sz w:val="22"/>
                <w:szCs w:val="22"/>
              </w:rPr>
              <w:t>‘</w:t>
            </w:r>
            <w:r w:rsidR="003D30DB" w:rsidRPr="00BE4FF7">
              <w:rPr>
                <w:rFonts w:ascii="Arial" w:hAnsi="Arial" w:cs="Arial"/>
                <w:sz w:val="22"/>
                <w:szCs w:val="22"/>
              </w:rPr>
              <w:t>astroturfing</w:t>
            </w:r>
            <w:r w:rsidR="00CD53FA" w:rsidRPr="00BE4FF7">
              <w:rPr>
                <w:rFonts w:ascii="Arial" w:hAnsi="Arial" w:cs="Arial"/>
                <w:sz w:val="22"/>
                <w:szCs w:val="22"/>
              </w:rPr>
              <w:t>’</w:t>
            </w:r>
            <w:r w:rsidR="003D30DB" w:rsidRPr="00BE4FF7">
              <w:rPr>
                <w:rFonts w:ascii="Arial" w:hAnsi="Arial" w:cs="Arial"/>
                <w:sz w:val="22"/>
                <w:szCs w:val="22"/>
              </w:rPr>
              <w:t xml:space="preserve"> </w:t>
            </w:r>
            <w:r w:rsidR="00CD53FA" w:rsidRPr="00BE4FF7">
              <w:rPr>
                <w:rFonts w:ascii="Arial" w:hAnsi="Arial" w:cs="Arial"/>
                <w:sz w:val="22"/>
                <w:szCs w:val="22"/>
              </w:rPr>
              <w:t>(</w:t>
            </w:r>
            <w:r w:rsidR="003D30DB" w:rsidRPr="00BE4FF7">
              <w:rPr>
                <w:rFonts w:ascii="Arial" w:hAnsi="Arial" w:cs="Arial"/>
                <w:sz w:val="22"/>
                <w:szCs w:val="22"/>
              </w:rPr>
              <w:t>commercial</w:t>
            </w:r>
            <w:r w:rsidR="00CD53FA" w:rsidRPr="00BE4FF7">
              <w:rPr>
                <w:rFonts w:ascii="Arial" w:hAnsi="Arial" w:cs="Arial"/>
                <w:sz w:val="22"/>
                <w:szCs w:val="22"/>
              </w:rPr>
              <w:t xml:space="preserve"> content disguised </w:t>
            </w:r>
            <w:r w:rsidR="003D30DB" w:rsidRPr="00BE4FF7">
              <w:rPr>
                <w:rFonts w:ascii="Arial" w:hAnsi="Arial" w:cs="Arial"/>
                <w:sz w:val="22"/>
                <w:szCs w:val="22"/>
              </w:rPr>
              <w:t>as authentic experienc</w:t>
            </w:r>
            <w:r w:rsidR="00CD53FA" w:rsidRPr="00BE4FF7">
              <w:rPr>
                <w:rFonts w:ascii="Arial" w:hAnsi="Arial" w:cs="Arial"/>
                <w:sz w:val="22"/>
                <w:szCs w:val="22"/>
              </w:rPr>
              <w:t>e</w:t>
            </w:r>
            <w:r w:rsidR="00BE4FF7" w:rsidRPr="00BE4FF7">
              <w:rPr>
                <w:rFonts w:ascii="Arial" w:hAnsi="Arial" w:cs="Arial"/>
                <w:sz w:val="22"/>
                <w:szCs w:val="22"/>
              </w:rPr>
              <w:t>s</w:t>
            </w:r>
            <w:r w:rsidR="003D30DB" w:rsidRPr="00BE4FF7">
              <w:rPr>
                <w:rFonts w:ascii="Arial" w:hAnsi="Arial" w:cs="Arial"/>
                <w:sz w:val="22"/>
                <w:szCs w:val="22"/>
              </w:rPr>
              <w:t xml:space="preserve"> and opinions such as fake consumer reviews and testimonials</w:t>
            </w:r>
            <w:r w:rsidR="00BE4FF7" w:rsidRPr="00BE4FF7">
              <w:rPr>
                <w:rFonts w:ascii="Arial" w:hAnsi="Arial" w:cs="Arial"/>
                <w:sz w:val="22"/>
                <w:szCs w:val="22"/>
              </w:rPr>
              <w:t xml:space="preserve">) </w:t>
            </w:r>
            <w:r w:rsidR="003D30DB" w:rsidRPr="00BE4FF7">
              <w:rPr>
                <w:rFonts w:ascii="Arial" w:hAnsi="Arial" w:cs="Arial"/>
                <w:sz w:val="22"/>
                <w:szCs w:val="22"/>
              </w:rPr>
              <w:t>(</w:t>
            </w:r>
            <w:proofErr w:type="spellStart"/>
            <w:r w:rsidR="003D30DB" w:rsidRPr="00BE4FF7">
              <w:rPr>
                <w:rFonts w:ascii="Arial" w:hAnsi="Arial" w:cs="Arial"/>
                <w:sz w:val="22"/>
                <w:szCs w:val="22"/>
              </w:rPr>
              <w:fldChar w:fldCharType="begin"/>
            </w:r>
            <w:r w:rsidR="003D30DB" w:rsidRPr="00BE4FF7">
              <w:rPr>
                <w:rFonts w:ascii="Arial" w:hAnsi="Arial" w:cs="Arial"/>
                <w:sz w:val="22"/>
                <w:szCs w:val="22"/>
              </w:rPr>
              <w:instrText xml:space="preserve"> HYPERLINK "https://gowlingwlg.com/en/insights-resources/guides/2023/doing-business-in-canada-advertising/" </w:instrText>
            </w:r>
            <w:r w:rsidR="003D30DB" w:rsidRPr="00BE4FF7">
              <w:rPr>
                <w:rFonts w:ascii="Arial" w:hAnsi="Arial" w:cs="Arial"/>
                <w:sz w:val="22"/>
                <w:szCs w:val="22"/>
              </w:rPr>
            </w:r>
            <w:r w:rsidR="003D30DB" w:rsidRPr="00BE4FF7">
              <w:rPr>
                <w:rFonts w:ascii="Arial" w:hAnsi="Arial" w:cs="Arial"/>
                <w:sz w:val="22"/>
                <w:szCs w:val="22"/>
              </w:rPr>
              <w:fldChar w:fldCharType="separate"/>
            </w:r>
            <w:r w:rsidR="003D30DB" w:rsidRPr="00BE4FF7">
              <w:rPr>
                <w:rStyle w:val="Hyperlink"/>
                <w:rFonts w:ascii="Arial" w:hAnsi="Arial" w:cs="Arial"/>
                <w:sz w:val="22"/>
                <w:szCs w:val="22"/>
              </w:rPr>
              <w:t>Gowling</w:t>
            </w:r>
            <w:proofErr w:type="spellEnd"/>
            <w:r w:rsidR="003D30DB" w:rsidRPr="00BE4FF7">
              <w:rPr>
                <w:rStyle w:val="Hyperlink"/>
                <w:rFonts w:ascii="Arial" w:hAnsi="Arial" w:cs="Arial"/>
                <w:sz w:val="22"/>
                <w:szCs w:val="22"/>
              </w:rPr>
              <w:t xml:space="preserve"> WLG 2023</w:t>
            </w:r>
            <w:r w:rsidR="003D30DB" w:rsidRPr="00BE4FF7">
              <w:rPr>
                <w:rFonts w:ascii="Arial" w:hAnsi="Arial" w:cs="Arial"/>
                <w:sz w:val="22"/>
                <w:szCs w:val="22"/>
              </w:rPr>
              <w:fldChar w:fldCharType="end"/>
            </w:r>
            <w:r w:rsidR="00CD53FA" w:rsidRPr="00BE4FF7">
              <w:rPr>
                <w:rFonts w:ascii="Arial" w:hAnsi="Arial" w:cs="Arial"/>
                <w:sz w:val="22"/>
                <w:szCs w:val="22"/>
              </w:rPr>
              <w:t xml:space="preserve">; </w:t>
            </w:r>
            <w:hyperlink r:id="rId98" w:history="1">
              <w:r w:rsidR="00CD53FA" w:rsidRPr="00BE4FF7">
                <w:rPr>
                  <w:rStyle w:val="Hyperlink"/>
                  <w:rFonts w:ascii="Arial" w:hAnsi="Arial" w:cs="Arial"/>
                  <w:sz w:val="22"/>
                  <w:szCs w:val="22"/>
                </w:rPr>
                <w:t>The Competition Bureau 2015</w:t>
              </w:r>
            </w:hyperlink>
            <w:r w:rsidR="00CD53FA" w:rsidRPr="00BE4FF7">
              <w:rPr>
                <w:rFonts w:ascii="Arial" w:hAnsi="Arial" w:cs="Arial"/>
                <w:sz w:val="22"/>
                <w:szCs w:val="22"/>
              </w:rPr>
              <w:t>)</w:t>
            </w:r>
            <w:r w:rsidR="003D30DB" w:rsidRPr="00BE4FF7">
              <w:rPr>
                <w:rFonts w:ascii="Arial" w:hAnsi="Arial" w:cs="Arial"/>
                <w:sz w:val="22"/>
                <w:szCs w:val="22"/>
              </w:rPr>
              <w:t>.</w:t>
            </w:r>
          </w:p>
        </w:tc>
      </w:tr>
      <w:tr w:rsidR="005D4AEB" w:rsidRPr="006E4E36"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6E4E36" w:rsidRDefault="003A19BC" w:rsidP="00CB46D4">
            <w:pPr>
              <w:rPr>
                <w:color w:val="3A3A3A" w:themeColor="background2" w:themeShade="40"/>
              </w:rPr>
            </w:pPr>
            <w:r w:rsidRPr="006E4E36">
              <w:rPr>
                <w:color w:val="747474" w:themeColor="background2" w:themeShade="80"/>
              </w:rPr>
              <w:t>6</w:t>
            </w:r>
            <w:r w:rsidR="005D4AEB" w:rsidRPr="006E4E36">
              <w:rPr>
                <w:color w:val="747474" w:themeColor="background2" w:themeShade="80"/>
              </w:rPr>
              <w:t>.2</w:t>
            </w:r>
          </w:p>
        </w:tc>
        <w:tc>
          <w:tcPr>
            <w:tcW w:w="2126" w:type="dxa"/>
          </w:tcPr>
          <w:p w14:paraId="46E4F5FD" w14:textId="0FD8913A" w:rsidR="005D4AEB" w:rsidRPr="006E4E36"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Are there general rules requiring that marketing communications identify who the advertiser/sponsor of the advertising is?</w:t>
            </w:r>
          </w:p>
        </w:tc>
        <w:tc>
          <w:tcPr>
            <w:tcW w:w="2127" w:type="dxa"/>
          </w:tcPr>
          <w:p w14:paraId="58BDD7EE" w14:textId="77777777" w:rsidR="005D4AEB" w:rsidRPr="006E4E36"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D34D59A" w14:textId="132D6317" w:rsidR="005D4AEB" w:rsidRPr="00381F5B" w:rsidRDefault="00000000" w:rsidP="000225C9">
            <w:pPr>
              <w:pStyle w:val="marginalnote"/>
              <w:shd w:val="clear" w:color="auto" w:fill="FFFFFF"/>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sz w:val="22"/>
                <w:szCs w:val="22"/>
              </w:rPr>
            </w:pPr>
            <w:hyperlink r:id="rId99" w:tgtFrame="_blank" w:history="1">
              <w:r w:rsidR="003352FE" w:rsidRPr="00381F5B">
                <w:rPr>
                  <w:rStyle w:val="normaltextrun"/>
                  <w:rFonts w:ascii="Arial" w:eastAsiaTheme="majorEastAsia" w:hAnsi="Arial" w:cs="Arial"/>
                  <w:color w:val="0563C1"/>
                  <w:sz w:val="22"/>
                  <w:szCs w:val="22"/>
                  <w:u w:val="single"/>
                </w:rPr>
                <w:t>The Competition Act</w:t>
              </w:r>
            </w:hyperlink>
            <w:r w:rsidR="003352FE" w:rsidRPr="00381F5B">
              <w:rPr>
                <w:rStyle w:val="eop"/>
                <w:rFonts w:ascii="Arial" w:eastAsiaTheme="majorEastAsia" w:hAnsi="Arial" w:cs="Arial"/>
                <w:sz w:val="22"/>
                <w:szCs w:val="22"/>
              </w:rPr>
              <w:t xml:space="preserve"> </w:t>
            </w:r>
            <w:r w:rsidR="00381F5B" w:rsidRPr="00381F5B">
              <w:rPr>
                <w:rStyle w:val="eop"/>
                <w:rFonts w:ascii="Arial" w:eastAsiaTheme="majorEastAsia" w:hAnsi="Arial" w:cs="Arial"/>
                <w:sz w:val="22"/>
                <w:szCs w:val="22"/>
              </w:rPr>
              <w:t>contains a requirement for disclosure regarding telemarketing under Section 52.1 (2) (a), stating: ‘disclosure is made, in a fair and reasonable manner at the beginning of each communication, of the identity of the person on behalf of whom the communication is made, the nature of the business interest or product being promoted and the purposes of the communication’ (</w:t>
            </w:r>
            <w:hyperlink r:id="rId100" w:tgtFrame="_blank" w:history="1">
              <w:r w:rsidR="00381F5B" w:rsidRPr="00381F5B">
                <w:rPr>
                  <w:rStyle w:val="normaltextrun"/>
                  <w:rFonts w:ascii="Arial" w:eastAsiaTheme="majorEastAsia" w:hAnsi="Arial" w:cs="Arial"/>
                  <w:color w:val="0563C1"/>
                  <w:sz w:val="22"/>
                  <w:szCs w:val="22"/>
                  <w:u w:val="single"/>
                </w:rPr>
                <w:t>The Competition Act</w:t>
              </w:r>
            </w:hyperlink>
            <w:r w:rsidR="00381F5B" w:rsidRPr="00381F5B">
              <w:rPr>
                <w:rFonts w:ascii="Arial" w:hAnsi="Arial" w:cs="Arial"/>
                <w:sz w:val="22"/>
                <w:szCs w:val="22"/>
              </w:rPr>
              <w:t xml:space="preserve">, PART VI, Offenses in Relation to Competition, </w:t>
            </w:r>
            <w:r w:rsidR="00381F5B" w:rsidRPr="00381F5B">
              <w:rPr>
                <w:rFonts w:ascii="Arial" w:hAnsi="Arial" w:cs="Arial"/>
                <w:color w:val="000000" w:themeColor="text1"/>
                <w:sz w:val="22"/>
                <w:szCs w:val="22"/>
              </w:rPr>
              <w:t>Section 51.1 (2) (a)).</w:t>
            </w:r>
          </w:p>
          <w:p w14:paraId="12CCB89D" w14:textId="77777777" w:rsidR="003352FE" w:rsidRPr="00381F5B" w:rsidRDefault="003352FE" w:rsidP="000225C9">
            <w:pPr>
              <w:pStyle w:val="marginalnote"/>
              <w:shd w:val="clear" w:color="auto" w:fill="FFFFFF"/>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p>
          <w:p w14:paraId="0611AA51" w14:textId="361169DE" w:rsidR="003352FE" w:rsidRPr="00381F5B" w:rsidRDefault="00000000" w:rsidP="000225C9">
            <w:pPr>
              <w:pStyle w:val="marginalnote"/>
              <w:shd w:val="clear" w:color="auto" w:fill="FFFFFF"/>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hyperlink r:id="rId101" w:history="1">
              <w:r w:rsidR="003352FE" w:rsidRPr="00381F5B">
                <w:rPr>
                  <w:rStyle w:val="Hyperlink"/>
                  <w:rFonts w:ascii="Arial" w:hAnsi="Arial" w:cs="Arial"/>
                  <w:sz w:val="22"/>
                  <w:szCs w:val="22"/>
                </w:rPr>
                <w:t>Advertising Standards—Canada</w:t>
              </w:r>
            </w:hyperlink>
            <w:r w:rsidR="003352FE" w:rsidRPr="00381F5B">
              <w:rPr>
                <w:rFonts w:ascii="Arial" w:hAnsi="Arial" w:cs="Arial"/>
                <w:sz w:val="22"/>
                <w:szCs w:val="22"/>
              </w:rPr>
              <w:t xml:space="preserve">’s </w:t>
            </w:r>
            <w:hyperlink r:id="rId102" w:history="1">
              <w:r w:rsidR="003352FE" w:rsidRPr="00381F5B">
                <w:rPr>
                  <w:rStyle w:val="Hyperlink"/>
                  <w:rFonts w:ascii="Arial" w:hAnsi="Arial" w:cs="Arial"/>
                  <w:sz w:val="22"/>
                  <w:szCs w:val="22"/>
                </w:rPr>
                <w:t>Code of Advertising Standards</w:t>
              </w:r>
            </w:hyperlink>
            <w:r w:rsidR="003352FE" w:rsidRPr="00381F5B">
              <w:rPr>
                <w:rFonts w:ascii="Arial" w:hAnsi="Arial" w:cs="Arial"/>
                <w:sz w:val="22"/>
                <w:szCs w:val="22"/>
              </w:rPr>
              <w:t xml:space="preserve"> contains Provision 1</w:t>
            </w:r>
            <w:r w:rsidR="00381F5B" w:rsidRPr="00381F5B">
              <w:rPr>
                <w:rFonts w:ascii="Arial" w:hAnsi="Arial" w:cs="Arial"/>
                <w:sz w:val="22"/>
                <w:szCs w:val="22"/>
              </w:rPr>
              <w:t xml:space="preserve"> </w:t>
            </w:r>
            <w:r w:rsidR="003352FE" w:rsidRPr="00381F5B">
              <w:rPr>
                <w:rFonts w:ascii="Arial" w:hAnsi="Arial" w:cs="Arial"/>
                <w:color w:val="000000" w:themeColor="text1"/>
                <w:sz w:val="22"/>
                <w:szCs w:val="22"/>
              </w:rPr>
              <w:t>(f)</w:t>
            </w:r>
            <w:r w:rsidR="00381F5B" w:rsidRPr="00381F5B">
              <w:rPr>
                <w:rFonts w:ascii="Arial" w:hAnsi="Arial" w:cs="Arial"/>
                <w:color w:val="000000" w:themeColor="text1"/>
                <w:sz w:val="22"/>
                <w:szCs w:val="22"/>
              </w:rPr>
              <w:t>, states:</w:t>
            </w:r>
            <w:r w:rsidR="003352FE" w:rsidRPr="00381F5B">
              <w:rPr>
                <w:rFonts w:ascii="Arial" w:hAnsi="Arial" w:cs="Arial"/>
                <w:color w:val="000000" w:themeColor="text1"/>
                <w:sz w:val="22"/>
                <w:szCs w:val="22"/>
              </w:rPr>
              <w:t xml:space="preserve"> </w:t>
            </w:r>
            <w:r w:rsidR="00381F5B" w:rsidRPr="00381F5B">
              <w:rPr>
                <w:rFonts w:ascii="Arial" w:hAnsi="Arial" w:cs="Arial"/>
                <w:color w:val="000000" w:themeColor="text1"/>
                <w:sz w:val="22"/>
                <w:szCs w:val="22"/>
              </w:rPr>
              <w:t>‘</w:t>
            </w:r>
            <w:r w:rsidR="003352FE" w:rsidRPr="00381F5B">
              <w:rPr>
                <w:rFonts w:ascii="Arial" w:hAnsi="Arial" w:cs="Arial"/>
                <w:color w:val="000000" w:themeColor="text1"/>
                <w:sz w:val="22"/>
                <w:szCs w:val="22"/>
              </w:rPr>
              <w:t>The advertiser must be clearly identified in the advertisement, excepting the advertiser of a “teaser advertisement”</w:t>
            </w:r>
            <w:r w:rsidR="00381F5B" w:rsidRPr="00381F5B">
              <w:rPr>
                <w:rFonts w:ascii="Arial" w:hAnsi="Arial" w:cs="Arial"/>
                <w:color w:val="000000" w:themeColor="text1"/>
                <w:sz w:val="22"/>
                <w:szCs w:val="22"/>
              </w:rPr>
              <w:t xml:space="preserve">’ </w:t>
            </w:r>
            <w:r w:rsidR="00381F5B" w:rsidRPr="00381F5B">
              <w:rPr>
                <w:rFonts w:ascii="Arial" w:hAnsi="Arial" w:cs="Arial"/>
                <w:sz w:val="22"/>
                <w:szCs w:val="22"/>
              </w:rPr>
              <w:t>(</w:t>
            </w:r>
            <w:hyperlink r:id="rId103" w:history="1">
              <w:r w:rsidR="00381F5B" w:rsidRPr="00381F5B">
                <w:rPr>
                  <w:rStyle w:val="Hyperlink"/>
                  <w:rFonts w:ascii="Arial" w:hAnsi="Arial" w:cs="Arial"/>
                  <w:sz w:val="22"/>
                  <w:szCs w:val="22"/>
                </w:rPr>
                <w:t>ASC 2019b</w:t>
              </w:r>
            </w:hyperlink>
            <w:r w:rsidR="00381F5B" w:rsidRPr="00381F5B">
              <w:rPr>
                <w:rFonts w:ascii="Arial" w:hAnsi="Arial" w:cs="Arial"/>
                <w:sz w:val="22"/>
                <w:szCs w:val="22"/>
              </w:rPr>
              <w:t>).</w:t>
            </w:r>
          </w:p>
        </w:tc>
      </w:tr>
      <w:tr w:rsidR="005D4AEB" w:rsidRPr="006E4E36"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6E4E36" w:rsidRDefault="003A19BC" w:rsidP="00CB46D4">
            <w:pPr>
              <w:rPr>
                <w:color w:val="747474" w:themeColor="background2" w:themeShade="80"/>
              </w:rPr>
            </w:pPr>
            <w:r w:rsidRPr="006E4E36">
              <w:rPr>
                <w:color w:val="747474" w:themeColor="background2" w:themeShade="80"/>
              </w:rPr>
              <w:t>6</w:t>
            </w:r>
            <w:r w:rsidR="005D4AEB" w:rsidRPr="006E4E36">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6E4E36"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 xml:space="preserve">Are there (general) disclosure or other </w:t>
            </w:r>
            <w:r w:rsidRPr="006E4E36">
              <w:lastRenderedPageBreak/>
              <w:t>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6E4E36"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2B76689" w14:textId="584D14E3" w:rsidR="005D4AEB" w:rsidRPr="006E4E36" w:rsidRDefault="005E5826" w:rsidP="005E5826">
            <w:pPr>
              <w:cnfStyle w:val="000000100000" w:firstRow="0" w:lastRow="0" w:firstColumn="0" w:lastColumn="0" w:oddVBand="0" w:evenVBand="0" w:oddHBand="1" w:evenHBand="0" w:firstRowFirstColumn="0" w:firstRowLastColumn="0" w:lastRowFirstColumn="0" w:lastRowLastColumn="0"/>
            </w:pPr>
            <w:r>
              <w:t xml:space="preserve">According to GALA, although the general rules of </w:t>
            </w:r>
            <w:hyperlink r:id="rId104" w:tgtFrame="_blank" w:history="1">
              <w:r w:rsidRPr="00381F5B">
                <w:rPr>
                  <w:rStyle w:val="normaltextrun"/>
                  <w:rFonts w:eastAsiaTheme="majorEastAsia"/>
                  <w:color w:val="0563C1"/>
                  <w:u w:val="single"/>
                </w:rPr>
                <w:t>The Competition Act</w:t>
              </w:r>
            </w:hyperlink>
            <w:r>
              <w:t xml:space="preserve"> apply and </w:t>
            </w:r>
            <w:r w:rsidRPr="000225C9">
              <w:rPr>
                <w:rStyle w:val="eop"/>
                <w:rFonts w:eastAsiaTheme="majorEastAsia"/>
              </w:rPr>
              <w:t xml:space="preserve">false, misleading, or otherwise </w:t>
            </w:r>
            <w:r w:rsidRPr="000225C9">
              <w:rPr>
                <w:rStyle w:val="eop"/>
                <w:rFonts w:eastAsiaTheme="majorEastAsia"/>
              </w:rPr>
              <w:lastRenderedPageBreak/>
              <w:t>deceptive marketing practices</w:t>
            </w:r>
            <w:r>
              <w:rPr>
                <w:rStyle w:val="eop"/>
                <w:rFonts w:eastAsiaTheme="majorEastAsia"/>
              </w:rPr>
              <w:t xml:space="preserve"> are prohibited,</w:t>
            </w:r>
            <w:r>
              <w:t xml:space="preserve"> there are no rules governing branded content in entertainment works (GALA 2024: </w:t>
            </w:r>
            <w:r w:rsidR="002355A7">
              <w:t>177)</w:t>
            </w:r>
            <w:r>
              <w:t>. There are, however, tax incentives, which are available for entertainment productions but not advertising</w:t>
            </w:r>
            <w:r w:rsidR="002355A7">
              <w:t xml:space="preserve"> (GALA 2024: 177). </w:t>
            </w:r>
            <w:r>
              <w:t xml:space="preserve"> </w:t>
            </w:r>
          </w:p>
        </w:tc>
      </w:tr>
      <w:tr w:rsidR="005D4AEB" w:rsidRPr="006E4E36"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6E4E36" w:rsidRDefault="003A19BC" w:rsidP="00CB46D4">
            <w:pPr>
              <w:rPr>
                <w:color w:val="747474" w:themeColor="background2" w:themeShade="80"/>
              </w:rPr>
            </w:pPr>
            <w:r w:rsidRPr="006E4E36">
              <w:rPr>
                <w:color w:val="747474" w:themeColor="background2" w:themeShade="80"/>
              </w:rPr>
              <w:lastRenderedPageBreak/>
              <w:t>6</w:t>
            </w:r>
            <w:r w:rsidR="005D4AEB" w:rsidRPr="006E4E36">
              <w:rPr>
                <w:color w:val="747474" w:themeColor="background2" w:themeShade="80"/>
              </w:rPr>
              <w:t>.4</w:t>
            </w:r>
          </w:p>
        </w:tc>
        <w:tc>
          <w:tcPr>
            <w:tcW w:w="2126" w:type="dxa"/>
          </w:tcPr>
          <w:p w14:paraId="4FA5E021" w14:textId="5165EF48" w:rsidR="005D4AEB" w:rsidRPr="006E4E36"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6E4E36">
              <w:t>What are the rules governing the use of endorsements and testimonials in advertising?</w:t>
            </w:r>
          </w:p>
        </w:tc>
        <w:tc>
          <w:tcPr>
            <w:tcW w:w="2127" w:type="dxa"/>
          </w:tcPr>
          <w:p w14:paraId="29943F29" w14:textId="77777777" w:rsidR="005D4AEB" w:rsidRPr="006E4E36"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12819D3" w14:textId="4DDC6739" w:rsidR="000225C9" w:rsidRPr="000225C9" w:rsidRDefault="00000000" w:rsidP="000225C9">
            <w:pPr>
              <w:pStyle w:val="marginalnote"/>
              <w:shd w:val="clear" w:color="auto" w:fill="FFFFFF"/>
              <w:spacing w:before="0" w:beforeAutospacing="0" w:after="0" w:afterAutospacing="0"/>
              <w:cnfStyle w:val="000000000000" w:firstRow="0" w:lastRow="0" w:firstColumn="0" w:lastColumn="0" w:oddVBand="0" w:evenVBand="0" w:oddHBand="0" w:evenHBand="0" w:firstRowFirstColumn="0" w:firstRowLastColumn="0" w:lastRowFirstColumn="0" w:lastRowLastColumn="0"/>
              <w:rPr>
                <w:color w:val="000000" w:themeColor="text1"/>
              </w:rPr>
            </w:pPr>
            <w:hyperlink r:id="rId105" w:tgtFrame="_blank" w:history="1">
              <w:r w:rsidR="000225C9" w:rsidRPr="000225C9">
                <w:rPr>
                  <w:rStyle w:val="normaltextrun"/>
                  <w:rFonts w:ascii="Arial" w:eastAsiaTheme="majorEastAsia" w:hAnsi="Arial" w:cs="Arial"/>
                  <w:color w:val="0563C1"/>
                  <w:sz w:val="22"/>
                  <w:szCs w:val="22"/>
                  <w:u w:val="single"/>
                </w:rPr>
                <w:t>The Competition Act</w:t>
              </w:r>
            </w:hyperlink>
            <w:r w:rsidR="000225C9" w:rsidRPr="000225C9">
              <w:rPr>
                <w:rFonts w:ascii="Arial" w:hAnsi="Arial" w:cs="Arial"/>
                <w:sz w:val="22"/>
                <w:szCs w:val="22"/>
              </w:rPr>
              <w:t xml:space="preserve">’s general prohibition of </w:t>
            </w:r>
            <w:r w:rsidR="000225C9" w:rsidRPr="000225C9">
              <w:rPr>
                <w:rStyle w:val="eop"/>
                <w:rFonts w:ascii="Arial" w:eastAsiaTheme="majorEastAsia" w:hAnsi="Arial" w:cs="Arial"/>
                <w:sz w:val="22"/>
                <w:szCs w:val="22"/>
              </w:rPr>
              <w:t xml:space="preserve">false, misleading, or otherwise deceptive marketing practices covers </w:t>
            </w:r>
            <w:r w:rsidR="000225C9" w:rsidRPr="000225C9">
              <w:rPr>
                <w:rFonts w:ascii="Arial" w:hAnsi="Arial" w:cs="Arial"/>
                <w:color w:val="000000" w:themeColor="text1"/>
                <w:sz w:val="22"/>
                <w:szCs w:val="22"/>
              </w:rPr>
              <w:t xml:space="preserve">endorsements and testimonials. Additionally, Section 74.02, </w:t>
            </w:r>
            <w:r w:rsidR="000225C9">
              <w:rPr>
                <w:rFonts w:ascii="Arial" w:hAnsi="Arial" w:cs="Arial"/>
                <w:color w:val="000000" w:themeColor="text1"/>
                <w:sz w:val="22"/>
                <w:szCs w:val="22"/>
              </w:rPr>
              <w:t>‘</w:t>
            </w:r>
            <w:r w:rsidR="000225C9" w:rsidRPr="000225C9">
              <w:rPr>
                <w:rFonts w:ascii="Arial" w:hAnsi="Arial" w:cs="Arial"/>
                <w:color w:val="000000" w:themeColor="text1"/>
                <w:sz w:val="22"/>
                <w:szCs w:val="22"/>
              </w:rPr>
              <w:t xml:space="preserve">Representation as to </w:t>
            </w:r>
            <w:r w:rsidR="000225C9">
              <w:rPr>
                <w:rFonts w:ascii="Arial" w:hAnsi="Arial" w:cs="Arial"/>
                <w:color w:val="000000" w:themeColor="text1"/>
                <w:sz w:val="22"/>
                <w:szCs w:val="22"/>
              </w:rPr>
              <w:t>R</w:t>
            </w:r>
            <w:r w:rsidR="000225C9" w:rsidRPr="000225C9">
              <w:rPr>
                <w:rFonts w:ascii="Arial" w:hAnsi="Arial" w:cs="Arial"/>
                <w:color w:val="000000" w:themeColor="text1"/>
                <w:sz w:val="22"/>
                <w:szCs w:val="22"/>
              </w:rPr>
              <w:t xml:space="preserve">easonable </w:t>
            </w:r>
            <w:r w:rsidR="000225C9">
              <w:rPr>
                <w:rFonts w:ascii="Arial" w:hAnsi="Arial" w:cs="Arial"/>
                <w:color w:val="000000" w:themeColor="text1"/>
                <w:sz w:val="22"/>
                <w:szCs w:val="22"/>
              </w:rPr>
              <w:t>T</w:t>
            </w:r>
            <w:r w:rsidR="000225C9" w:rsidRPr="000225C9">
              <w:rPr>
                <w:rFonts w:ascii="Arial" w:hAnsi="Arial" w:cs="Arial"/>
                <w:color w:val="000000" w:themeColor="text1"/>
                <w:sz w:val="22"/>
                <w:szCs w:val="22"/>
              </w:rPr>
              <w:t xml:space="preserve">est and </w:t>
            </w:r>
            <w:r w:rsidR="000225C9">
              <w:rPr>
                <w:rFonts w:ascii="Arial" w:hAnsi="Arial" w:cs="Arial"/>
                <w:color w:val="000000" w:themeColor="text1"/>
                <w:sz w:val="22"/>
                <w:szCs w:val="22"/>
              </w:rPr>
              <w:t>P</w:t>
            </w:r>
            <w:r w:rsidR="000225C9" w:rsidRPr="000225C9">
              <w:rPr>
                <w:rFonts w:ascii="Arial" w:hAnsi="Arial" w:cs="Arial"/>
                <w:color w:val="000000" w:themeColor="text1"/>
                <w:sz w:val="22"/>
                <w:szCs w:val="22"/>
              </w:rPr>
              <w:t xml:space="preserve">ublication of </w:t>
            </w:r>
            <w:r w:rsidR="000225C9">
              <w:rPr>
                <w:rFonts w:ascii="Arial" w:hAnsi="Arial" w:cs="Arial"/>
                <w:color w:val="000000" w:themeColor="text1"/>
                <w:sz w:val="22"/>
                <w:szCs w:val="22"/>
              </w:rPr>
              <w:t>T</w:t>
            </w:r>
            <w:r w:rsidR="000225C9" w:rsidRPr="000225C9">
              <w:rPr>
                <w:rFonts w:ascii="Arial" w:hAnsi="Arial" w:cs="Arial"/>
                <w:color w:val="000000" w:themeColor="text1"/>
                <w:sz w:val="22"/>
                <w:szCs w:val="22"/>
              </w:rPr>
              <w:t>estimonials</w:t>
            </w:r>
            <w:r w:rsidR="000225C9">
              <w:rPr>
                <w:rFonts w:ascii="Arial" w:hAnsi="Arial" w:cs="Arial"/>
                <w:color w:val="000000" w:themeColor="text1"/>
                <w:sz w:val="22"/>
                <w:szCs w:val="22"/>
              </w:rPr>
              <w:t>’</w:t>
            </w:r>
            <w:r w:rsidR="000225C9" w:rsidRPr="000225C9">
              <w:rPr>
                <w:rFonts w:ascii="Arial" w:hAnsi="Arial" w:cs="Arial"/>
                <w:color w:val="000000" w:themeColor="text1"/>
                <w:sz w:val="22"/>
                <w:szCs w:val="22"/>
              </w:rPr>
              <w:t>, states: ‘A person engages in reviewable conduct who, for the purpose of promoting, directly or indirectly, the supply or use of any product, or for the purpose of promoting, directly or indirectly, any business interest, makes a representation to the public that a test has been made as to the performance, efficacy or length of life of a product by any person, or publishes a testimonial with respect to a product, unless the person making the representation or publishing the testimonial can establish that</w:t>
            </w:r>
          </w:p>
          <w:p w14:paraId="2A739FED" w14:textId="77777777" w:rsidR="000225C9" w:rsidRPr="000225C9" w:rsidRDefault="000225C9" w:rsidP="00D53D95">
            <w:pPr>
              <w:shd w:val="clear" w:color="auto" w:fill="FFFFFF"/>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en-GB"/>
              </w:rPr>
            </w:pPr>
            <w:r w:rsidRPr="000225C9">
              <w:rPr>
                <w:rFonts w:eastAsia="Times New Roman"/>
                <w:color w:val="000000" w:themeColor="text1"/>
                <w:lang w:eastAsia="en-GB"/>
              </w:rPr>
              <w:t>(a) such a representation or testimonial was previously made or published by the person by whom the test was made or the testimonial was given, or</w:t>
            </w:r>
          </w:p>
          <w:p w14:paraId="30CB0CB5" w14:textId="77777777" w:rsidR="000225C9" w:rsidRPr="000225C9" w:rsidRDefault="000225C9" w:rsidP="00D53D95">
            <w:pPr>
              <w:shd w:val="clear" w:color="auto" w:fill="FFFFFF"/>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en-GB"/>
              </w:rPr>
            </w:pPr>
            <w:r w:rsidRPr="000225C9">
              <w:rPr>
                <w:rFonts w:eastAsia="Times New Roman"/>
                <w:color w:val="000000" w:themeColor="text1"/>
                <w:lang w:eastAsia="en-GB"/>
              </w:rPr>
              <w:t>(b) such a representation or testimonial was, before being made or published, approved and permission to make or publish it was given in writing by the person by whom the test was made or the testimonial was given,</w:t>
            </w:r>
          </w:p>
          <w:p w14:paraId="24A3BC04" w14:textId="28382273" w:rsidR="005D4AEB" w:rsidRDefault="000225C9" w:rsidP="000225C9">
            <w:pPr>
              <w:cnfStyle w:val="000000000000" w:firstRow="0" w:lastRow="0" w:firstColumn="0" w:lastColumn="0" w:oddVBand="0" w:evenVBand="0" w:oddHBand="0" w:evenHBand="0" w:firstRowFirstColumn="0" w:firstRowLastColumn="0" w:lastRowFirstColumn="0" w:lastRowLastColumn="0"/>
              <w:rPr>
                <w:rStyle w:val="eop"/>
                <w:rFonts w:eastAsiaTheme="majorEastAsia"/>
              </w:rPr>
            </w:pPr>
            <w:r w:rsidRPr="000225C9">
              <w:rPr>
                <w:rFonts w:eastAsia="Times New Roman"/>
                <w:color w:val="000000" w:themeColor="text1"/>
                <w:lang w:eastAsia="en-GB"/>
              </w:rPr>
              <w:t>and the representation or testimonial accords with the representation or testimonial previously made, published or approved’ (</w:t>
            </w:r>
            <w:hyperlink r:id="rId106" w:tgtFrame="_blank" w:history="1">
              <w:r w:rsidRPr="000225C9">
                <w:rPr>
                  <w:rStyle w:val="normaltextrun"/>
                  <w:rFonts w:eastAsiaTheme="majorEastAsia"/>
                  <w:color w:val="0563C1"/>
                  <w:u w:val="single"/>
                </w:rPr>
                <w:t>The Competition Act</w:t>
              </w:r>
            </w:hyperlink>
            <w:r>
              <w:t xml:space="preserve">, </w:t>
            </w:r>
            <w:r w:rsidR="00C3510F" w:rsidRPr="00C3510F">
              <w:t>PART VII.1</w:t>
            </w:r>
            <w:r w:rsidR="00C3510F">
              <w:t>, Deceptive Practices,</w:t>
            </w:r>
            <w:r w:rsidR="00C3510F" w:rsidRPr="00C3510F">
              <w:t xml:space="preserve"> </w:t>
            </w:r>
            <w:r w:rsidRPr="000225C9">
              <w:rPr>
                <w:color w:val="000000" w:themeColor="text1"/>
              </w:rPr>
              <w:t>Section 74.02</w:t>
            </w:r>
            <w:r>
              <w:rPr>
                <w:color w:val="000000" w:themeColor="text1"/>
              </w:rPr>
              <w:t xml:space="preserve">; </w:t>
            </w:r>
            <w:hyperlink r:id="rId107" w:history="1">
              <w:r w:rsidRPr="000225C9">
                <w:rPr>
                  <w:rStyle w:val="Hyperlink"/>
                  <w:rFonts w:eastAsiaTheme="majorEastAsia"/>
                </w:rPr>
                <w:t>Harrison, Iatrou, Francis, Bouras 2023</w:t>
              </w:r>
            </w:hyperlink>
            <w:r w:rsidRPr="000225C9">
              <w:rPr>
                <w:rStyle w:val="eop"/>
                <w:rFonts w:eastAsiaTheme="majorEastAsia"/>
              </w:rPr>
              <w:t>).</w:t>
            </w:r>
          </w:p>
          <w:p w14:paraId="0C8E66A1" w14:textId="4E03E197" w:rsidR="003352FE" w:rsidRDefault="003352FE" w:rsidP="000225C9">
            <w:pPr>
              <w:cnfStyle w:val="000000000000" w:firstRow="0" w:lastRow="0" w:firstColumn="0" w:lastColumn="0" w:oddVBand="0" w:evenVBand="0" w:oddHBand="0" w:evenHBand="0" w:firstRowFirstColumn="0" w:firstRowLastColumn="0" w:lastRowFirstColumn="0" w:lastRowLastColumn="0"/>
              <w:rPr>
                <w:rStyle w:val="eop"/>
                <w:rFonts w:eastAsiaTheme="majorEastAsia"/>
              </w:rPr>
            </w:pPr>
          </w:p>
          <w:p w14:paraId="379D415B" w14:textId="77777777" w:rsidR="003352FE" w:rsidRDefault="00000000" w:rsidP="003352FE">
            <w:pPr>
              <w:cnfStyle w:val="000000000000" w:firstRow="0" w:lastRow="0" w:firstColumn="0" w:lastColumn="0" w:oddVBand="0" w:evenVBand="0" w:oddHBand="0" w:evenHBand="0" w:firstRowFirstColumn="0" w:firstRowLastColumn="0" w:lastRowFirstColumn="0" w:lastRowLastColumn="0"/>
            </w:pPr>
            <w:hyperlink r:id="rId108" w:history="1">
              <w:r w:rsidR="003352FE" w:rsidRPr="00BE4FF7">
                <w:rPr>
                  <w:rStyle w:val="Hyperlink"/>
                </w:rPr>
                <w:t>The Competition Bureau</w:t>
              </w:r>
            </w:hyperlink>
            <w:r w:rsidR="003352FE" w:rsidRPr="00BE4FF7">
              <w:t xml:space="preserve"> </w:t>
            </w:r>
            <w:r w:rsidR="003352FE">
              <w:t xml:space="preserve">published </w:t>
            </w:r>
            <w:hyperlink r:id="rId109" w:history="1">
              <w:r w:rsidR="003352FE" w:rsidRPr="00C3510F">
                <w:rPr>
                  <w:rStyle w:val="Hyperlink"/>
                </w:rPr>
                <w:t>guidelines regarding the use of tests and testimonials</w:t>
              </w:r>
            </w:hyperlink>
            <w:r w:rsidR="003352FE">
              <w:t>, which include remedies for non-compliance (</w:t>
            </w:r>
            <w:hyperlink r:id="rId110" w:history="1">
              <w:r w:rsidR="003352FE" w:rsidRPr="00C3510F">
                <w:rPr>
                  <w:rStyle w:val="Hyperlink"/>
                </w:rPr>
                <w:t>The Competition Bureau 202</w:t>
              </w:r>
              <w:r w:rsidR="003352FE">
                <w:rPr>
                  <w:rStyle w:val="Hyperlink"/>
                </w:rPr>
                <w:t>2b</w:t>
              </w:r>
            </w:hyperlink>
            <w:r w:rsidR="003352FE">
              <w:t>).</w:t>
            </w:r>
          </w:p>
          <w:p w14:paraId="7E9540B2" w14:textId="67F6724C" w:rsidR="003352FE" w:rsidRDefault="003352FE" w:rsidP="000225C9">
            <w:pPr>
              <w:cnfStyle w:val="000000000000" w:firstRow="0" w:lastRow="0" w:firstColumn="0" w:lastColumn="0" w:oddVBand="0" w:evenVBand="0" w:oddHBand="0" w:evenHBand="0" w:firstRowFirstColumn="0" w:firstRowLastColumn="0" w:lastRowFirstColumn="0" w:lastRowLastColumn="0"/>
              <w:rPr>
                <w:rStyle w:val="eop"/>
                <w:rFonts w:eastAsiaTheme="majorEastAsia"/>
              </w:rPr>
            </w:pPr>
          </w:p>
          <w:p w14:paraId="3747D452" w14:textId="22A5F582" w:rsidR="003352FE" w:rsidRPr="003352FE" w:rsidRDefault="00000000" w:rsidP="003352FE">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111" w:history="1">
              <w:r w:rsidR="003352FE" w:rsidRPr="00CD53FA">
                <w:rPr>
                  <w:rStyle w:val="Hyperlink"/>
                  <w:rFonts w:ascii="Arial" w:hAnsi="Arial" w:cs="Arial"/>
                  <w:sz w:val="22"/>
                  <w:szCs w:val="22"/>
                </w:rPr>
                <w:t>Advertising Standards—Canada</w:t>
              </w:r>
            </w:hyperlink>
            <w:r w:rsidR="003352FE">
              <w:rPr>
                <w:rFonts w:ascii="Arial" w:hAnsi="Arial" w:cs="Arial"/>
                <w:sz w:val="22"/>
                <w:szCs w:val="22"/>
              </w:rPr>
              <w:t>’s</w:t>
            </w:r>
            <w:r w:rsidR="003352FE" w:rsidRPr="00CD53FA">
              <w:rPr>
                <w:rFonts w:ascii="Arial" w:hAnsi="Arial" w:cs="Arial"/>
                <w:sz w:val="22"/>
                <w:szCs w:val="22"/>
              </w:rPr>
              <w:t xml:space="preserve"> </w:t>
            </w:r>
            <w:hyperlink r:id="rId112" w:history="1">
              <w:r w:rsidR="003352FE" w:rsidRPr="00CD53FA">
                <w:rPr>
                  <w:rStyle w:val="Hyperlink"/>
                  <w:rFonts w:ascii="Arial" w:hAnsi="Arial" w:cs="Arial"/>
                  <w:sz w:val="22"/>
                  <w:szCs w:val="22"/>
                </w:rPr>
                <w:t>Code of Advertising Standards</w:t>
              </w:r>
            </w:hyperlink>
            <w:r w:rsidR="003352FE" w:rsidRPr="00CD53FA">
              <w:rPr>
                <w:rFonts w:ascii="Arial" w:hAnsi="Arial" w:cs="Arial"/>
                <w:sz w:val="22"/>
                <w:szCs w:val="22"/>
              </w:rPr>
              <w:t xml:space="preserve"> contain</w:t>
            </w:r>
            <w:r w:rsidR="003352FE">
              <w:rPr>
                <w:rFonts w:ascii="Arial" w:hAnsi="Arial" w:cs="Arial"/>
                <w:sz w:val="22"/>
                <w:szCs w:val="22"/>
              </w:rPr>
              <w:t>s</w:t>
            </w:r>
            <w:r w:rsidR="003352FE" w:rsidRPr="00CD53FA">
              <w:rPr>
                <w:rFonts w:ascii="Arial" w:hAnsi="Arial" w:cs="Arial"/>
                <w:sz w:val="22"/>
                <w:szCs w:val="22"/>
              </w:rPr>
              <w:t xml:space="preserve"> Provision </w:t>
            </w:r>
            <w:r w:rsidR="003352FE">
              <w:rPr>
                <w:rFonts w:ascii="Arial" w:hAnsi="Arial" w:cs="Arial"/>
                <w:sz w:val="22"/>
                <w:szCs w:val="22"/>
              </w:rPr>
              <w:t>7</w:t>
            </w:r>
            <w:r w:rsidR="003352FE" w:rsidRPr="00CD53FA">
              <w:rPr>
                <w:rFonts w:ascii="Arial" w:hAnsi="Arial" w:cs="Arial"/>
                <w:sz w:val="22"/>
                <w:szCs w:val="22"/>
              </w:rPr>
              <w:t>,</w:t>
            </w:r>
            <w:r w:rsidR="003352FE">
              <w:rPr>
                <w:rFonts w:ascii="Arial" w:hAnsi="Arial" w:cs="Arial"/>
                <w:sz w:val="22"/>
                <w:szCs w:val="22"/>
              </w:rPr>
              <w:t xml:space="preserve"> ‘Testimonials’,</w:t>
            </w:r>
            <w:r w:rsidR="003352FE" w:rsidRPr="00CD53FA">
              <w:rPr>
                <w:rFonts w:ascii="Arial" w:hAnsi="Arial" w:cs="Arial"/>
                <w:sz w:val="22"/>
                <w:szCs w:val="22"/>
              </w:rPr>
              <w:t xml:space="preserve"> which states: ‘</w:t>
            </w:r>
            <w:r w:rsidR="003352FE" w:rsidRPr="003352FE">
              <w:rPr>
                <w:rFonts w:ascii="Arial" w:hAnsi="Arial" w:cs="Arial"/>
                <w:sz w:val="22"/>
                <w:szCs w:val="22"/>
              </w:rPr>
              <w:t>Testimonials, endorsements or other representations of opinion or preference, must reflect the genuine, reasonably current opinion of the individual(s), group or organization making such representations, and must be based upon adequate information about or experience with the identified product or service and must not otherwise be deceptive</w:t>
            </w:r>
            <w:r w:rsidR="003352FE">
              <w:rPr>
                <w:rFonts w:ascii="Arial" w:hAnsi="Arial" w:cs="Arial"/>
                <w:sz w:val="22"/>
                <w:szCs w:val="22"/>
              </w:rPr>
              <w:t>’</w:t>
            </w:r>
            <w:r w:rsidR="003352FE" w:rsidRPr="00CD53FA">
              <w:rPr>
                <w:rFonts w:ascii="Arial" w:hAnsi="Arial" w:cs="Arial"/>
                <w:sz w:val="22"/>
                <w:szCs w:val="22"/>
              </w:rPr>
              <w:t xml:space="preserve"> (</w:t>
            </w:r>
            <w:hyperlink r:id="rId113" w:history="1">
              <w:r w:rsidR="003352FE" w:rsidRPr="00CD53FA">
                <w:rPr>
                  <w:rStyle w:val="Hyperlink"/>
                  <w:rFonts w:ascii="Arial" w:hAnsi="Arial" w:cs="Arial"/>
                  <w:sz w:val="22"/>
                  <w:szCs w:val="22"/>
                </w:rPr>
                <w:t>ASC 2019b</w:t>
              </w:r>
            </w:hyperlink>
            <w:r w:rsidR="003352FE" w:rsidRPr="00CD53FA">
              <w:rPr>
                <w:rFonts w:ascii="Arial" w:hAnsi="Arial" w:cs="Arial"/>
                <w:sz w:val="22"/>
                <w:szCs w:val="22"/>
              </w:rPr>
              <w:t>).</w:t>
            </w:r>
          </w:p>
        </w:tc>
      </w:tr>
      <w:tr w:rsidR="005D4AEB" w:rsidRPr="006E4E36"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6E4E36" w:rsidRDefault="003A19BC" w:rsidP="00CB46D4">
            <w:pPr>
              <w:rPr>
                <w:color w:val="747474" w:themeColor="background2" w:themeShade="80"/>
              </w:rPr>
            </w:pPr>
            <w:r w:rsidRPr="006E4E36">
              <w:rPr>
                <w:color w:val="747474" w:themeColor="background2" w:themeShade="80"/>
              </w:rPr>
              <w:t>6</w:t>
            </w:r>
            <w:r w:rsidR="005D4AEB" w:rsidRPr="006E4E36">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6E4E36"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6E4E36">
              <w:t>General indicators of effectiveness (branded content)</w:t>
            </w:r>
          </w:p>
        </w:tc>
        <w:tc>
          <w:tcPr>
            <w:tcW w:w="2127" w:type="dxa"/>
            <w:tcBorders>
              <w:top w:val="none" w:sz="0" w:space="0" w:color="auto"/>
              <w:bottom w:val="none" w:sz="0" w:space="0" w:color="auto"/>
            </w:tcBorders>
          </w:tcPr>
          <w:p w14:paraId="40DFA622" w14:textId="77777777" w:rsidR="005D4AEB" w:rsidRPr="006E4E36"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41D17CD4" w:rsidR="005D4AEB" w:rsidRPr="006E4E36" w:rsidRDefault="005E5826" w:rsidP="00CB46D4">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bl>
    <w:p w14:paraId="3EF2E791" w14:textId="77777777" w:rsidR="008D27DF" w:rsidRPr="006E4E36" w:rsidRDefault="008D27DF" w:rsidP="00CB5035">
      <w:pPr>
        <w:spacing w:after="0"/>
      </w:pPr>
    </w:p>
    <w:p w14:paraId="536D0D92" w14:textId="57B32F5B" w:rsidR="00CF62AF" w:rsidRPr="006E4E36" w:rsidRDefault="008D27DF" w:rsidP="008D27DF">
      <w:pPr>
        <w:pStyle w:val="Tableheadings"/>
      </w:pPr>
      <w:r w:rsidRPr="006E4E36">
        <w:lastRenderedPageBreak/>
        <w:t>Branded content sections</w:t>
      </w:r>
    </w:p>
    <w:p w14:paraId="2CFF42D2" w14:textId="77777777" w:rsidR="008D27DF" w:rsidRPr="006E4E36" w:rsidRDefault="008D27DF" w:rsidP="008D27DF">
      <w:pPr>
        <w:pStyle w:val="Tableheadings"/>
      </w:pPr>
    </w:p>
    <w:p w14:paraId="5734EB32" w14:textId="77777777" w:rsidR="00533017" w:rsidRPr="006E4E36" w:rsidRDefault="00533017" w:rsidP="00533017">
      <w:pPr>
        <w:pStyle w:val="SectionHead"/>
        <w:rPr>
          <w:rFonts w:cs="Arial"/>
        </w:rPr>
      </w:pPr>
      <w:bookmarkStart w:id="9" w:name="_Toc172573289"/>
      <w:r w:rsidRPr="006E4E36">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6E4E36"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6E4E36" w:rsidRDefault="008D27DF" w:rsidP="0081091B">
            <w:pPr>
              <w:pStyle w:val="Tableheadings"/>
              <w:spacing w:line="240" w:lineRule="auto"/>
              <w:rPr>
                <w:b/>
                <w:bCs/>
              </w:rPr>
            </w:pPr>
            <w:r w:rsidRPr="006E4E36">
              <w:rPr>
                <w:b/>
                <w:bCs/>
              </w:rPr>
              <w:t>Item</w:t>
            </w:r>
          </w:p>
        </w:tc>
        <w:tc>
          <w:tcPr>
            <w:tcW w:w="2126" w:type="dxa"/>
            <w:tcBorders>
              <w:bottom w:val="none" w:sz="0" w:space="0" w:color="auto"/>
            </w:tcBorders>
          </w:tcPr>
          <w:p w14:paraId="2EA91F6D" w14:textId="77777777" w:rsidR="008D27DF" w:rsidRPr="006E4E3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292767B9" w14:textId="77777777" w:rsidR="008D27DF" w:rsidRPr="006E4E3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color w:val="595959" w:themeColor="text1" w:themeTint="A6"/>
              </w:rPr>
              <w:t xml:space="preserve">Classification </w:t>
            </w:r>
          </w:p>
        </w:tc>
        <w:tc>
          <w:tcPr>
            <w:tcW w:w="5670" w:type="dxa"/>
            <w:tcBorders>
              <w:bottom w:val="none" w:sz="0" w:space="0" w:color="auto"/>
            </w:tcBorders>
          </w:tcPr>
          <w:p w14:paraId="67C2F6DA" w14:textId="77777777" w:rsidR="008D27DF" w:rsidRPr="006E4E36"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color w:val="595959" w:themeColor="text1" w:themeTint="A6"/>
              </w:rPr>
              <w:t>Description</w:t>
            </w:r>
          </w:p>
        </w:tc>
      </w:tr>
      <w:tr w:rsidR="008D27DF" w:rsidRPr="006E4E36"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6E4E36" w:rsidRDefault="00A579EE" w:rsidP="0081091B">
            <w:pPr>
              <w:rPr>
                <w:b w:val="0"/>
                <w:bCs w:val="0"/>
                <w:color w:val="747474" w:themeColor="background2" w:themeShade="80"/>
              </w:rPr>
            </w:pPr>
            <w:r w:rsidRPr="006E4E36">
              <w:rPr>
                <w:color w:val="747474" w:themeColor="background2" w:themeShade="80"/>
              </w:rPr>
              <w:t>7</w:t>
            </w:r>
            <w:r w:rsidR="008D27DF" w:rsidRPr="006E4E36">
              <w:rPr>
                <w:color w:val="747474" w:themeColor="background2" w:themeShade="80"/>
              </w:rPr>
              <w:t>.1</w:t>
            </w:r>
          </w:p>
        </w:tc>
        <w:tc>
          <w:tcPr>
            <w:tcW w:w="2126" w:type="dxa"/>
            <w:tcBorders>
              <w:top w:val="none" w:sz="0" w:space="0" w:color="auto"/>
              <w:bottom w:val="none" w:sz="0" w:space="0" w:color="auto"/>
            </w:tcBorders>
          </w:tcPr>
          <w:p w14:paraId="6ABB7E5E" w14:textId="5E4CFDD5" w:rsidR="008D27DF" w:rsidRPr="006E4E36"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6E4E36"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B558D32" w14:textId="741929DB" w:rsidR="00D63DAE" w:rsidRPr="00D63DAE" w:rsidRDefault="00D63DAE" w:rsidP="00D63DA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14"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15"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16"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sidR="00507268">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f the identity of the advertiser</w:t>
            </w:r>
            <w:r w:rsidR="00507268">
              <w:rPr>
                <w:rFonts w:ascii="Arial" w:hAnsi="Arial" w:cs="Arial"/>
                <w:sz w:val="22"/>
                <w:szCs w:val="22"/>
              </w:rPr>
              <w:t>,</w:t>
            </w:r>
            <w:r>
              <w:rPr>
                <w:rFonts w:ascii="Arial" w:hAnsi="Arial" w:cs="Arial"/>
                <w:sz w:val="22"/>
                <w:szCs w:val="22"/>
              </w:rPr>
              <w:t xml:space="preserve"> under Provisions 1 (f) and 2 </w:t>
            </w:r>
            <w:r w:rsidRPr="00D63DAE">
              <w:rPr>
                <w:rFonts w:ascii="Arial" w:hAnsi="Arial" w:cs="Arial"/>
                <w:sz w:val="22"/>
                <w:szCs w:val="22"/>
              </w:rPr>
              <w:t>(</w:t>
            </w:r>
            <w:hyperlink r:id="rId117" w:history="1">
              <w:r w:rsidRPr="00D63DAE">
                <w:rPr>
                  <w:rStyle w:val="Hyperlink"/>
                  <w:rFonts w:ascii="Arial" w:hAnsi="Arial" w:cs="Arial"/>
                  <w:sz w:val="22"/>
                  <w:szCs w:val="22"/>
                </w:rPr>
                <w:t>ASC 2019b</w:t>
              </w:r>
            </w:hyperlink>
            <w:r w:rsidRPr="00D63DAE">
              <w:rPr>
                <w:rFonts w:ascii="Arial" w:hAnsi="Arial" w:cs="Arial"/>
                <w:sz w:val="22"/>
                <w:szCs w:val="22"/>
              </w:rPr>
              <w:t>).</w:t>
            </w:r>
          </w:p>
          <w:p w14:paraId="05B68659" w14:textId="77777777" w:rsidR="002355A7" w:rsidRDefault="002355A7" w:rsidP="0081091B">
            <w:pPr>
              <w:cnfStyle w:val="000000100000" w:firstRow="0" w:lastRow="0" w:firstColumn="0" w:lastColumn="0" w:oddVBand="0" w:evenVBand="0" w:oddHBand="1" w:evenHBand="0" w:firstRowFirstColumn="0" w:firstRowLastColumn="0" w:lastRowFirstColumn="0" w:lastRowLastColumn="0"/>
            </w:pPr>
          </w:p>
          <w:p w14:paraId="3140DF19" w14:textId="0E808133" w:rsidR="008D27DF" w:rsidRPr="006E4E36" w:rsidRDefault="00000000" w:rsidP="0081091B">
            <w:pPr>
              <w:cnfStyle w:val="000000100000" w:firstRow="0" w:lastRow="0" w:firstColumn="0" w:lastColumn="0" w:oddVBand="0" w:evenVBand="0" w:oddHBand="1" w:evenHBand="0" w:firstRowFirstColumn="0" w:firstRowLastColumn="0" w:lastRowFirstColumn="0" w:lastRowLastColumn="0"/>
            </w:pPr>
            <w:hyperlink r:id="rId118" w:history="1">
              <w:r w:rsidR="00BE4FF7" w:rsidRPr="00BE4FF7">
                <w:rPr>
                  <w:rStyle w:val="Hyperlink"/>
                </w:rPr>
                <w:t xml:space="preserve">National </w:t>
              </w:r>
              <w:proofErr w:type="spellStart"/>
              <w:r w:rsidR="00BE4FF7" w:rsidRPr="00BE4FF7">
                <w:rPr>
                  <w:rStyle w:val="Hyperlink"/>
                </w:rPr>
                <w:t>NewsMedia</w:t>
              </w:r>
              <w:proofErr w:type="spellEnd"/>
              <w:r w:rsidR="00BE4FF7" w:rsidRPr="00BE4FF7">
                <w:rPr>
                  <w:rStyle w:val="Hyperlink"/>
                </w:rPr>
                <w:t xml:space="preserve"> Council</w:t>
              </w:r>
            </w:hyperlink>
            <w:r w:rsidR="00BE4FF7" w:rsidRPr="00BE4FF7">
              <w:t xml:space="preserve"> (NNC)</w:t>
            </w:r>
            <w:r w:rsidR="002355A7">
              <w:t xml:space="preserve"> produced </w:t>
            </w:r>
            <w:hyperlink r:id="rId119" w:history="1">
              <w:r w:rsidR="002355A7" w:rsidRPr="002355A7">
                <w:rPr>
                  <w:rStyle w:val="Hyperlink"/>
                </w:rPr>
                <w:t>Guidelines and Resources</w:t>
              </w:r>
            </w:hyperlink>
            <w:r w:rsidR="002355A7">
              <w:t>,</w:t>
            </w:r>
            <w:r w:rsidR="002355A7" w:rsidRPr="002355A7">
              <w:t xml:space="preserve"> </w:t>
            </w:r>
            <w:r w:rsidR="002355A7">
              <w:t>and include t</w:t>
            </w:r>
            <w:r w:rsidR="002355A7" w:rsidRPr="002355A7">
              <w:t>he Canadian Association of Journalists: Ethics Guidelines</w:t>
            </w:r>
            <w:r w:rsidR="002355A7">
              <w:t xml:space="preserve"> on their website [but it is temporarily unavailable] (</w:t>
            </w:r>
            <w:hyperlink r:id="rId120" w:history="1">
              <w:r w:rsidR="002355A7" w:rsidRPr="002355A7">
                <w:rPr>
                  <w:rStyle w:val="Hyperlink"/>
                </w:rPr>
                <w:t>NCC n.d.</w:t>
              </w:r>
            </w:hyperlink>
            <w:r w:rsidR="002355A7">
              <w:t xml:space="preserve">). </w:t>
            </w:r>
          </w:p>
        </w:tc>
      </w:tr>
      <w:tr w:rsidR="008D27DF" w:rsidRPr="006E4E36"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6E4E36" w:rsidRDefault="00A579EE" w:rsidP="0081091B">
            <w:pPr>
              <w:rPr>
                <w:color w:val="3A3A3A" w:themeColor="background2" w:themeShade="40"/>
              </w:rPr>
            </w:pPr>
            <w:r w:rsidRPr="006E4E36">
              <w:rPr>
                <w:color w:val="747474" w:themeColor="background2" w:themeShade="80"/>
              </w:rPr>
              <w:t>7</w:t>
            </w:r>
            <w:r w:rsidR="008D27DF" w:rsidRPr="006E4E36">
              <w:rPr>
                <w:color w:val="747474" w:themeColor="background2" w:themeShade="80"/>
              </w:rPr>
              <w:t>.2</w:t>
            </w:r>
          </w:p>
        </w:tc>
        <w:tc>
          <w:tcPr>
            <w:tcW w:w="2126" w:type="dxa"/>
          </w:tcPr>
          <w:p w14:paraId="595C7D61" w14:textId="15A80CB3" w:rsidR="008D27DF" w:rsidRPr="006E4E36"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4C42D2E5" w14:textId="77777777" w:rsidR="008D27DF" w:rsidRPr="006E4E36"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6FF489A0" w:rsidR="008D27DF" w:rsidRPr="006E4E36" w:rsidRDefault="00820D80" w:rsidP="0081091B">
            <w:pPr>
              <w:cnfStyle w:val="000000000000" w:firstRow="0" w:lastRow="0" w:firstColumn="0" w:lastColumn="0" w:oddVBand="0" w:evenVBand="0" w:oddHBand="0" w:evenHBand="0" w:firstRowFirstColumn="0" w:firstRowLastColumn="0" w:lastRowFirstColumn="0" w:lastRowLastColumn="0"/>
            </w:pPr>
            <w:r>
              <w:t xml:space="preserve">Please see </w:t>
            </w:r>
            <w:r w:rsidRPr="00820D80">
              <w:rPr>
                <w:b/>
                <w:bCs/>
              </w:rPr>
              <w:t>7.1</w:t>
            </w:r>
            <w:r>
              <w:t>.</w:t>
            </w:r>
          </w:p>
        </w:tc>
      </w:tr>
    </w:tbl>
    <w:p w14:paraId="3752E295" w14:textId="77777777" w:rsidR="00EE67D5" w:rsidRPr="006E4E36" w:rsidRDefault="00EE67D5" w:rsidP="00EE67D5">
      <w:pPr>
        <w:pStyle w:val="SectionHead"/>
        <w:rPr>
          <w:rFonts w:cs="Arial"/>
        </w:rPr>
      </w:pPr>
      <w:bookmarkStart w:id="10" w:name="_Toc172573290"/>
      <w:r w:rsidRPr="006E4E36">
        <w:rPr>
          <w:rFonts w:cs="Arial"/>
        </w:rPr>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6E4E36"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6E4E36" w:rsidRDefault="007B253B" w:rsidP="0081091B">
            <w:pPr>
              <w:pStyle w:val="Tableheadings"/>
              <w:spacing w:line="240" w:lineRule="auto"/>
              <w:rPr>
                <w:b/>
                <w:bCs/>
              </w:rPr>
            </w:pPr>
            <w:r w:rsidRPr="006E4E36">
              <w:rPr>
                <w:b/>
                <w:bCs/>
              </w:rPr>
              <w:t>Item</w:t>
            </w:r>
          </w:p>
        </w:tc>
        <w:tc>
          <w:tcPr>
            <w:tcW w:w="2126" w:type="dxa"/>
            <w:tcBorders>
              <w:bottom w:val="none" w:sz="0" w:space="0" w:color="auto"/>
            </w:tcBorders>
          </w:tcPr>
          <w:p w14:paraId="43CD5043" w14:textId="77777777" w:rsidR="007B253B" w:rsidRPr="006E4E3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368CF348" w14:textId="77777777" w:rsidR="007B253B" w:rsidRPr="006E4E3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585DDBEF" w14:textId="77777777" w:rsidR="007B253B" w:rsidRPr="006E4E36"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7B253B" w:rsidRPr="006E4E36"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6E4E36" w:rsidRDefault="00EE67D5" w:rsidP="0081091B">
            <w:pPr>
              <w:rPr>
                <w:b w:val="0"/>
                <w:bCs w:val="0"/>
                <w:color w:val="747474" w:themeColor="background2" w:themeShade="80"/>
              </w:rPr>
            </w:pPr>
            <w:r w:rsidRPr="006E4E36">
              <w:rPr>
                <w:color w:val="747474" w:themeColor="background2" w:themeShade="80"/>
              </w:rPr>
              <w:t>8</w:t>
            </w:r>
            <w:r w:rsidR="007B253B" w:rsidRPr="006E4E36">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6E4E36"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across sectors</w:t>
            </w:r>
          </w:p>
        </w:tc>
        <w:tc>
          <w:tcPr>
            <w:tcW w:w="2127" w:type="dxa"/>
            <w:tcBorders>
              <w:top w:val="none" w:sz="0" w:space="0" w:color="auto"/>
              <w:bottom w:val="none" w:sz="0" w:space="0" w:color="auto"/>
            </w:tcBorders>
          </w:tcPr>
          <w:p w14:paraId="21A4A8B7" w14:textId="77777777" w:rsidR="007B253B" w:rsidRPr="006E4E36"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430516" w14:textId="523E97A3" w:rsidR="00D63DAE" w:rsidRPr="00D63DAE" w:rsidRDefault="00D63DAE" w:rsidP="00D63DA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21"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22"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23"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sidR="00507268">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f the identity of the advertiser</w:t>
            </w:r>
            <w:r w:rsidR="00507268">
              <w:rPr>
                <w:rFonts w:ascii="Arial" w:hAnsi="Arial" w:cs="Arial"/>
                <w:sz w:val="22"/>
                <w:szCs w:val="22"/>
              </w:rPr>
              <w:t>,</w:t>
            </w:r>
            <w:r>
              <w:rPr>
                <w:rFonts w:ascii="Arial" w:hAnsi="Arial" w:cs="Arial"/>
                <w:sz w:val="22"/>
                <w:szCs w:val="22"/>
              </w:rPr>
              <w:t xml:space="preserve"> under Provisions 1 (f) and 2 </w:t>
            </w:r>
            <w:r w:rsidRPr="00D63DAE">
              <w:rPr>
                <w:rFonts w:ascii="Arial" w:hAnsi="Arial" w:cs="Arial"/>
                <w:sz w:val="22"/>
                <w:szCs w:val="22"/>
              </w:rPr>
              <w:t>(</w:t>
            </w:r>
            <w:hyperlink r:id="rId124" w:history="1">
              <w:r w:rsidRPr="00D63DAE">
                <w:rPr>
                  <w:rStyle w:val="Hyperlink"/>
                  <w:rFonts w:ascii="Arial" w:hAnsi="Arial" w:cs="Arial"/>
                  <w:sz w:val="22"/>
                  <w:szCs w:val="22"/>
                </w:rPr>
                <w:t>ASC 2019b</w:t>
              </w:r>
            </w:hyperlink>
            <w:r w:rsidRPr="00D63DAE">
              <w:rPr>
                <w:rFonts w:ascii="Arial" w:hAnsi="Arial" w:cs="Arial"/>
                <w:sz w:val="22"/>
                <w:szCs w:val="22"/>
              </w:rPr>
              <w:t>).</w:t>
            </w:r>
          </w:p>
          <w:p w14:paraId="5F39770B" w14:textId="77777777" w:rsidR="00820D80" w:rsidRDefault="00820D80" w:rsidP="0081091B">
            <w:pPr>
              <w:cnfStyle w:val="000000100000" w:firstRow="0" w:lastRow="0" w:firstColumn="0" w:lastColumn="0" w:oddVBand="0" w:evenVBand="0" w:oddHBand="1" w:evenHBand="0" w:firstRowFirstColumn="0" w:firstRowLastColumn="0" w:lastRowFirstColumn="0" w:lastRowLastColumn="0"/>
            </w:pPr>
          </w:p>
          <w:p w14:paraId="5CA664C3" w14:textId="77777777" w:rsidR="00820D80" w:rsidRDefault="00000000" w:rsidP="0081091B">
            <w:pPr>
              <w:cnfStyle w:val="000000100000" w:firstRow="0" w:lastRow="0" w:firstColumn="0" w:lastColumn="0" w:oddVBand="0" w:evenVBand="0" w:oddHBand="1" w:evenHBand="0" w:firstRowFirstColumn="0" w:firstRowLastColumn="0" w:lastRowFirstColumn="0" w:lastRowLastColumn="0"/>
            </w:pPr>
            <w:hyperlink r:id="rId125" w:history="1">
              <w:r w:rsidR="00820D80" w:rsidRPr="00507268">
                <w:rPr>
                  <w:rStyle w:val="Hyperlink"/>
                </w:rPr>
                <w:t>The CBC/Radio-Canada Advertising Standards Policy</w:t>
              </w:r>
            </w:hyperlink>
            <w:r w:rsidR="00820D80">
              <w:t xml:space="preserve"> regulates branded content through Policy 1.3.4, ‘Advertiser Identification’, Policy 1.3.5., ‘Endorsement’, and Policy 1.3.6, ‘Program Integrity’</w:t>
            </w:r>
            <w:r w:rsidR="00507268">
              <w:t xml:space="preserve"> (</w:t>
            </w:r>
            <w:hyperlink r:id="rId126" w:history="1">
              <w:r w:rsidR="00507268" w:rsidRPr="00507268">
                <w:rPr>
                  <w:rStyle w:val="Hyperlink"/>
                </w:rPr>
                <w:t>CBC/Radio-Canada 2006</w:t>
              </w:r>
            </w:hyperlink>
            <w:r w:rsidR="00507268">
              <w:t>)</w:t>
            </w:r>
            <w:r w:rsidR="00820D80">
              <w:t>. According to CBC Radio-Canada, ‘branded content cannot appear to be journalistic content or editorial content that is subject to CBC/Radio-Canada’s Journalistic Standards and Practices (JSPs)’ (</w:t>
            </w:r>
            <w:hyperlink r:id="rId127" w:history="1">
              <w:r w:rsidR="00820D80" w:rsidRPr="00820D80">
                <w:rPr>
                  <w:rStyle w:val="Hyperlink"/>
                </w:rPr>
                <w:t>CBC/Radio-Canada 2020</w:t>
              </w:r>
            </w:hyperlink>
            <w:r w:rsidR="00820D80">
              <w:t>).</w:t>
            </w:r>
          </w:p>
          <w:p w14:paraId="6BFB42B7" w14:textId="77777777" w:rsidR="00507268" w:rsidRDefault="00507268" w:rsidP="0081091B">
            <w:pPr>
              <w:cnfStyle w:val="000000100000" w:firstRow="0" w:lastRow="0" w:firstColumn="0" w:lastColumn="0" w:oddVBand="0" w:evenVBand="0" w:oddHBand="1" w:evenHBand="0" w:firstRowFirstColumn="0" w:firstRowLastColumn="0" w:lastRowFirstColumn="0" w:lastRowLastColumn="0"/>
            </w:pPr>
          </w:p>
          <w:p w14:paraId="44E93F09" w14:textId="2B76F0B8" w:rsidR="00507268" w:rsidRPr="006E4E36" w:rsidRDefault="00000000" w:rsidP="0081091B">
            <w:pPr>
              <w:cnfStyle w:val="000000100000" w:firstRow="0" w:lastRow="0" w:firstColumn="0" w:lastColumn="0" w:oddVBand="0" w:evenVBand="0" w:oddHBand="1" w:evenHBand="0" w:firstRowFirstColumn="0" w:firstRowLastColumn="0" w:lastRowFirstColumn="0" w:lastRowLastColumn="0"/>
            </w:pPr>
            <w:hyperlink r:id="rId128" w:history="1">
              <w:r w:rsidR="00507268">
                <w:rPr>
                  <w:rStyle w:val="Hyperlink"/>
                </w:rPr>
                <w:t>The C</w:t>
              </w:r>
              <w:r w:rsidR="00507268" w:rsidRPr="00940ED1">
                <w:rPr>
                  <w:rStyle w:val="Hyperlink"/>
                </w:rPr>
                <w:t>anadian Radio-television and Telecommunications Commission</w:t>
              </w:r>
            </w:hyperlink>
            <w:r w:rsidR="00507268">
              <w:t xml:space="preserve"> </w:t>
            </w:r>
            <w:r w:rsidR="00EA2790">
              <w:t xml:space="preserve">(CRTC) </w:t>
            </w:r>
            <w:r w:rsidR="00507268" w:rsidRPr="00D63DAE">
              <w:t>oversee</w:t>
            </w:r>
            <w:r w:rsidR="00507268">
              <w:t>s the</w:t>
            </w:r>
            <w:r w:rsidR="00507268" w:rsidRPr="00D63DAE">
              <w:t xml:space="preserve"> rules</w:t>
            </w:r>
            <w:r w:rsidR="00507268">
              <w:t xml:space="preserve"> produced </w:t>
            </w:r>
            <w:r w:rsidR="00507268">
              <w:lastRenderedPageBreak/>
              <w:t xml:space="preserve">Guidelines for Broadcasters: </w:t>
            </w:r>
            <w:hyperlink r:id="rId129" w:history="1">
              <w:r w:rsidR="00507268" w:rsidRPr="00507268">
                <w:rPr>
                  <w:rStyle w:val="Hyperlink"/>
                </w:rPr>
                <w:t>TV and Radio Advertising Basics</w:t>
              </w:r>
            </w:hyperlink>
            <w:r w:rsidR="00507268">
              <w:t xml:space="preserve"> (</w:t>
            </w:r>
            <w:hyperlink r:id="rId130" w:history="1">
              <w:r w:rsidR="00507268" w:rsidRPr="00507268">
                <w:rPr>
                  <w:rStyle w:val="Hyperlink"/>
                </w:rPr>
                <w:t>C</w:t>
              </w:r>
              <w:r w:rsidR="00EA2790">
                <w:rPr>
                  <w:rStyle w:val="Hyperlink"/>
                </w:rPr>
                <w:t>RTC</w:t>
              </w:r>
              <w:r w:rsidR="00507268" w:rsidRPr="00507268">
                <w:rPr>
                  <w:rStyle w:val="Hyperlink"/>
                </w:rPr>
                <w:t xml:space="preserve"> 2024</w:t>
              </w:r>
            </w:hyperlink>
            <w:r w:rsidR="00507268">
              <w:t>).</w:t>
            </w:r>
          </w:p>
        </w:tc>
      </w:tr>
      <w:tr w:rsidR="007B253B" w:rsidRPr="006E4E36"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6E4E36" w:rsidRDefault="00EE67D5" w:rsidP="0081091B">
            <w:pPr>
              <w:rPr>
                <w:color w:val="3A3A3A" w:themeColor="background2" w:themeShade="40"/>
              </w:rPr>
            </w:pPr>
            <w:r w:rsidRPr="006E4E36">
              <w:rPr>
                <w:color w:val="747474" w:themeColor="background2" w:themeShade="80"/>
              </w:rPr>
              <w:lastRenderedPageBreak/>
              <w:t>8</w:t>
            </w:r>
            <w:r w:rsidR="007B253B" w:rsidRPr="006E4E36">
              <w:rPr>
                <w:color w:val="747474" w:themeColor="background2" w:themeShade="80"/>
              </w:rPr>
              <w:t>.2</w:t>
            </w:r>
          </w:p>
        </w:tc>
        <w:tc>
          <w:tcPr>
            <w:tcW w:w="2126" w:type="dxa"/>
          </w:tcPr>
          <w:p w14:paraId="38B1E9D7" w14:textId="45C50196" w:rsidR="007B253B" w:rsidRPr="006E4E36"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1C649E5F" w14:textId="77777777" w:rsidR="007B253B" w:rsidRPr="006E4E36"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B1C5E01" w14:textId="0BE68D58" w:rsidR="007B253B"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bl>
    <w:p w14:paraId="241DEF5A" w14:textId="18CC227E" w:rsidR="009143BA" w:rsidRPr="006E4E36" w:rsidRDefault="009143BA" w:rsidP="009143BA">
      <w:pPr>
        <w:pStyle w:val="SectionHead"/>
        <w:rPr>
          <w:rFonts w:cs="Arial"/>
        </w:rPr>
      </w:pPr>
      <w:bookmarkStart w:id="11" w:name="_Toc172573291"/>
      <w:r w:rsidRPr="006E4E36">
        <w:rPr>
          <w:rFonts w:cs="Arial"/>
        </w:rPr>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6E4E36"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6E4E36" w:rsidRDefault="009143BA" w:rsidP="0081091B">
            <w:pPr>
              <w:pStyle w:val="Tableheadings"/>
              <w:spacing w:line="240" w:lineRule="auto"/>
              <w:rPr>
                <w:b/>
                <w:bCs/>
              </w:rPr>
            </w:pPr>
            <w:r w:rsidRPr="006E4E36">
              <w:rPr>
                <w:b/>
                <w:bCs/>
              </w:rPr>
              <w:t>Item</w:t>
            </w:r>
          </w:p>
        </w:tc>
        <w:tc>
          <w:tcPr>
            <w:tcW w:w="2126" w:type="dxa"/>
            <w:tcBorders>
              <w:bottom w:val="none" w:sz="0" w:space="0" w:color="auto"/>
            </w:tcBorders>
          </w:tcPr>
          <w:p w14:paraId="21E32486" w14:textId="77777777" w:rsidR="009143BA" w:rsidRPr="006E4E3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21FCDD95" w14:textId="77777777" w:rsidR="009143BA" w:rsidRPr="006E4E3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7CCD59BE" w14:textId="77777777" w:rsidR="009143BA" w:rsidRPr="006E4E36"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9143BA" w:rsidRPr="006E4E36"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6E4E36" w:rsidRDefault="009143BA" w:rsidP="0081091B">
            <w:pPr>
              <w:rPr>
                <w:b w:val="0"/>
                <w:bCs w:val="0"/>
                <w:color w:val="747474" w:themeColor="background2" w:themeShade="80"/>
              </w:rPr>
            </w:pPr>
            <w:r w:rsidRPr="006E4E36">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6E4E36"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6E4E36"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7D00020" w14:textId="29DFC5D2" w:rsidR="00507268"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31"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32"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33"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 xml:space="preserve">f the identity of the advertiser, under Provisions 1 (f) and 2 </w:t>
            </w:r>
            <w:r w:rsidRPr="00D63DAE">
              <w:rPr>
                <w:rFonts w:ascii="Arial" w:hAnsi="Arial" w:cs="Arial"/>
                <w:sz w:val="22"/>
                <w:szCs w:val="22"/>
              </w:rPr>
              <w:t>(</w:t>
            </w:r>
            <w:hyperlink r:id="rId134" w:history="1">
              <w:r w:rsidRPr="00D63DAE">
                <w:rPr>
                  <w:rStyle w:val="Hyperlink"/>
                  <w:rFonts w:ascii="Arial" w:hAnsi="Arial" w:cs="Arial"/>
                  <w:sz w:val="22"/>
                  <w:szCs w:val="22"/>
                </w:rPr>
                <w:t>ASC 2019b</w:t>
              </w:r>
            </w:hyperlink>
            <w:r w:rsidRPr="00D63DAE">
              <w:rPr>
                <w:rFonts w:ascii="Arial" w:hAnsi="Arial" w:cs="Arial"/>
                <w:sz w:val="22"/>
                <w:szCs w:val="22"/>
              </w:rPr>
              <w:t>).</w:t>
            </w:r>
          </w:p>
          <w:p w14:paraId="08B4E59B" w14:textId="1ED91665" w:rsidR="00507268"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0030C9F1" w14:textId="77777777" w:rsidR="00507268" w:rsidRPr="00507268" w:rsidRDefault="00000000" w:rsidP="00507268">
            <w:pPr>
              <w:cnfStyle w:val="000000100000" w:firstRow="0" w:lastRow="0" w:firstColumn="0" w:lastColumn="0" w:oddVBand="0" w:evenVBand="0" w:oddHBand="1" w:evenHBand="0" w:firstRowFirstColumn="0" w:firstRowLastColumn="0" w:lastRowFirstColumn="0" w:lastRowLastColumn="0"/>
            </w:pPr>
            <w:hyperlink r:id="rId135" w:history="1">
              <w:r w:rsidR="00507268" w:rsidRPr="00507268">
                <w:rPr>
                  <w:rStyle w:val="Hyperlink"/>
                </w:rPr>
                <w:t>The CBC/Radio-Canada Advertising Standards Policy</w:t>
              </w:r>
            </w:hyperlink>
            <w:r w:rsidR="00507268">
              <w:t xml:space="preserve"> regulates branded content through Policy 1.3.4, ‘Advertiser Identification’, Policy 1.3.5., ‘Endorsement’, and Policy 1.3.6, ‘Program Integrity’ (</w:t>
            </w:r>
            <w:hyperlink r:id="rId136" w:history="1">
              <w:r w:rsidR="00507268" w:rsidRPr="00507268">
                <w:rPr>
                  <w:rStyle w:val="Hyperlink"/>
                </w:rPr>
                <w:t>CBC/Radio-Canada 2006</w:t>
              </w:r>
            </w:hyperlink>
            <w:r w:rsidR="00507268">
              <w:t xml:space="preserve">). According to CBC Radio-Canada, ‘branded content cannot appear to be journalistic content or </w:t>
            </w:r>
            <w:r w:rsidR="00507268" w:rsidRPr="00507268">
              <w:t>editorial content that is subject to CBC/Radio-Canada’s Journalistic Standards and Practices (JSPs)’ (</w:t>
            </w:r>
            <w:hyperlink r:id="rId137" w:history="1">
              <w:r w:rsidR="00507268" w:rsidRPr="00507268">
                <w:rPr>
                  <w:rStyle w:val="Hyperlink"/>
                </w:rPr>
                <w:t>CBC/Radio-Canada 2020</w:t>
              </w:r>
            </w:hyperlink>
            <w:r w:rsidR="00507268" w:rsidRPr="00507268">
              <w:t>).</w:t>
            </w:r>
          </w:p>
          <w:p w14:paraId="6ABFC6D0" w14:textId="77777777" w:rsidR="00507268" w:rsidRPr="00507268" w:rsidRDefault="00507268" w:rsidP="00507268">
            <w:pPr>
              <w:cnfStyle w:val="000000100000" w:firstRow="0" w:lastRow="0" w:firstColumn="0" w:lastColumn="0" w:oddVBand="0" w:evenVBand="0" w:oddHBand="1" w:evenHBand="0" w:firstRowFirstColumn="0" w:firstRowLastColumn="0" w:lastRowFirstColumn="0" w:lastRowLastColumn="0"/>
            </w:pPr>
          </w:p>
          <w:p w14:paraId="41FDB521" w14:textId="00CD29F0" w:rsidR="009143BA" w:rsidRPr="00507268" w:rsidRDefault="00000000"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38" w:history="1">
              <w:r w:rsidR="00507268" w:rsidRPr="00507268">
                <w:rPr>
                  <w:rStyle w:val="Hyperlink"/>
                  <w:rFonts w:ascii="Arial" w:hAnsi="Arial" w:cs="Arial"/>
                  <w:sz w:val="22"/>
                  <w:szCs w:val="22"/>
                </w:rPr>
                <w:t>The Canadian Radio-television and Telecommunications Commission</w:t>
              </w:r>
            </w:hyperlink>
            <w:r w:rsidR="00507268" w:rsidRPr="00507268">
              <w:rPr>
                <w:rFonts w:ascii="Arial" w:hAnsi="Arial" w:cs="Arial"/>
                <w:sz w:val="22"/>
                <w:szCs w:val="22"/>
              </w:rPr>
              <w:t xml:space="preserve"> </w:t>
            </w:r>
            <w:r w:rsidR="00EA2790" w:rsidRPr="00EA2790">
              <w:rPr>
                <w:rFonts w:ascii="Arial" w:hAnsi="Arial" w:cs="Arial"/>
                <w:sz w:val="22"/>
                <w:szCs w:val="22"/>
              </w:rPr>
              <w:t xml:space="preserve">(CRTC) </w:t>
            </w:r>
            <w:r w:rsidR="00507268" w:rsidRPr="00EA2790">
              <w:rPr>
                <w:rFonts w:ascii="Arial" w:hAnsi="Arial" w:cs="Arial"/>
                <w:sz w:val="22"/>
                <w:szCs w:val="22"/>
              </w:rPr>
              <w:t>oversees</w:t>
            </w:r>
            <w:r w:rsidR="00507268" w:rsidRPr="00507268">
              <w:rPr>
                <w:rFonts w:ascii="Arial" w:hAnsi="Arial" w:cs="Arial"/>
                <w:sz w:val="22"/>
                <w:szCs w:val="22"/>
              </w:rPr>
              <w:t xml:space="preserve"> the rules produced Guidelines for Broadcasters: </w:t>
            </w:r>
            <w:hyperlink r:id="rId139" w:history="1">
              <w:r w:rsidR="00507268" w:rsidRPr="00507268">
                <w:rPr>
                  <w:rStyle w:val="Hyperlink"/>
                  <w:rFonts w:ascii="Arial" w:hAnsi="Arial" w:cs="Arial"/>
                  <w:sz w:val="22"/>
                  <w:szCs w:val="22"/>
                </w:rPr>
                <w:t>TV and Radio Advertising Basics</w:t>
              </w:r>
            </w:hyperlink>
            <w:r w:rsidR="00507268" w:rsidRPr="00507268">
              <w:rPr>
                <w:rFonts w:ascii="Arial" w:hAnsi="Arial" w:cs="Arial"/>
                <w:sz w:val="22"/>
                <w:szCs w:val="22"/>
              </w:rPr>
              <w:t xml:space="preserve"> (</w:t>
            </w:r>
            <w:hyperlink r:id="rId140" w:history="1">
              <w:r w:rsidR="00507268" w:rsidRPr="00507268">
                <w:rPr>
                  <w:rStyle w:val="Hyperlink"/>
                  <w:rFonts w:ascii="Arial" w:hAnsi="Arial" w:cs="Arial"/>
                  <w:sz w:val="22"/>
                  <w:szCs w:val="22"/>
                </w:rPr>
                <w:t>C</w:t>
              </w:r>
              <w:r w:rsidR="00EA2790">
                <w:rPr>
                  <w:rStyle w:val="Hyperlink"/>
                  <w:rFonts w:ascii="Arial" w:hAnsi="Arial" w:cs="Arial"/>
                  <w:sz w:val="22"/>
                  <w:szCs w:val="22"/>
                </w:rPr>
                <w:t>RTC</w:t>
              </w:r>
              <w:r w:rsidR="00507268" w:rsidRPr="00507268">
                <w:rPr>
                  <w:rStyle w:val="Hyperlink"/>
                  <w:rFonts w:ascii="Arial" w:hAnsi="Arial" w:cs="Arial"/>
                  <w:sz w:val="22"/>
                  <w:szCs w:val="22"/>
                </w:rPr>
                <w:t xml:space="preserve"> 2024</w:t>
              </w:r>
            </w:hyperlink>
            <w:r w:rsidR="00507268" w:rsidRPr="00507268">
              <w:rPr>
                <w:rFonts w:ascii="Arial" w:hAnsi="Arial" w:cs="Arial"/>
                <w:sz w:val="22"/>
                <w:szCs w:val="22"/>
              </w:rPr>
              <w:t>).</w:t>
            </w:r>
          </w:p>
        </w:tc>
      </w:tr>
      <w:tr w:rsidR="009143BA" w:rsidRPr="006E4E36"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6E4E36" w:rsidRDefault="009143BA" w:rsidP="0081091B">
            <w:pPr>
              <w:rPr>
                <w:color w:val="3A3A3A" w:themeColor="background2" w:themeShade="40"/>
              </w:rPr>
            </w:pPr>
            <w:r w:rsidRPr="006E4E36">
              <w:rPr>
                <w:color w:val="747474" w:themeColor="background2" w:themeShade="80"/>
              </w:rPr>
              <w:t>9.2</w:t>
            </w:r>
          </w:p>
        </w:tc>
        <w:tc>
          <w:tcPr>
            <w:tcW w:w="2126" w:type="dxa"/>
          </w:tcPr>
          <w:p w14:paraId="5D54A48D" w14:textId="2AB3502C" w:rsidR="009143BA" w:rsidRPr="006E4E36"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rPr>
                <w:sz w:val="21"/>
                <w:szCs w:val="21"/>
              </w:rPr>
              <w:t>How is branded content described and ordered in governance?</w:t>
            </w:r>
          </w:p>
        </w:tc>
        <w:tc>
          <w:tcPr>
            <w:tcW w:w="2127" w:type="dxa"/>
          </w:tcPr>
          <w:p w14:paraId="13399941" w14:textId="77777777" w:rsidR="009143BA" w:rsidRPr="006E4E36"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26C91075" w:rsidR="009143BA"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bl>
    <w:p w14:paraId="72245D9B" w14:textId="77777777" w:rsidR="00732CCD" w:rsidRPr="006E4E36" w:rsidRDefault="00732CCD" w:rsidP="007D5857">
      <w:pPr>
        <w:pStyle w:val="SectionHead"/>
        <w:rPr>
          <w:rFonts w:cs="Arial"/>
        </w:rPr>
      </w:pPr>
      <w:bookmarkStart w:id="12" w:name="_Toc172573292"/>
      <w:r w:rsidRPr="006E4E36">
        <w:rPr>
          <w:rFonts w:cs="Arial"/>
        </w:rPr>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6E4E36"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6E4E36" w:rsidRDefault="003369C4" w:rsidP="0081091B">
            <w:pPr>
              <w:pStyle w:val="Tableheadings"/>
              <w:spacing w:line="240" w:lineRule="auto"/>
              <w:rPr>
                <w:b/>
                <w:bCs/>
              </w:rPr>
            </w:pPr>
            <w:r w:rsidRPr="006E4E36">
              <w:rPr>
                <w:b/>
                <w:bCs/>
              </w:rPr>
              <w:t>Item</w:t>
            </w:r>
          </w:p>
        </w:tc>
        <w:tc>
          <w:tcPr>
            <w:tcW w:w="2126" w:type="dxa"/>
            <w:tcBorders>
              <w:bottom w:val="none" w:sz="0" w:space="0" w:color="auto"/>
            </w:tcBorders>
          </w:tcPr>
          <w:p w14:paraId="6B731812" w14:textId="77777777" w:rsidR="003369C4" w:rsidRPr="006E4E3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396F675F" w14:textId="77777777" w:rsidR="003369C4" w:rsidRPr="006E4E3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01DD72AB" w14:textId="77777777" w:rsidR="003369C4" w:rsidRPr="006E4E36"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3369C4" w:rsidRPr="006E4E36"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6E4E36" w:rsidRDefault="00340625" w:rsidP="0081091B">
            <w:pPr>
              <w:rPr>
                <w:b w:val="0"/>
                <w:bCs w:val="0"/>
                <w:color w:val="747474" w:themeColor="background2" w:themeShade="80"/>
              </w:rPr>
            </w:pPr>
            <w:r w:rsidRPr="006E4E36">
              <w:rPr>
                <w:color w:val="747474" w:themeColor="background2" w:themeShade="80"/>
              </w:rPr>
              <w:t>10</w:t>
            </w:r>
            <w:r w:rsidR="003369C4" w:rsidRPr="006E4E36">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6E4E36"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 xml:space="preserve">Rules/governance arrangements </w:t>
            </w:r>
            <w:r w:rsidRPr="006E4E36">
              <w:lastRenderedPageBreak/>
              <w:t>across sector (platforms, apps; internet; mobile)</w:t>
            </w:r>
          </w:p>
        </w:tc>
        <w:tc>
          <w:tcPr>
            <w:tcW w:w="2127" w:type="dxa"/>
            <w:tcBorders>
              <w:top w:val="none" w:sz="0" w:space="0" w:color="auto"/>
              <w:bottom w:val="none" w:sz="0" w:space="0" w:color="auto"/>
            </w:tcBorders>
          </w:tcPr>
          <w:p w14:paraId="7DC3B325" w14:textId="77777777" w:rsidR="003369C4" w:rsidRPr="006E4E36"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D66F815" w14:textId="77777777" w:rsidR="00507268" w:rsidRPr="00D63DAE"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lastRenderedPageBreak/>
              <w:t>Canadian</w:t>
            </w:r>
            <w:r w:rsidRPr="00D63DAE">
              <w:rPr>
                <w:rFonts w:ascii="Arial" w:hAnsi="Arial" w:cs="Arial"/>
                <w:sz w:val="22"/>
                <w:szCs w:val="22"/>
              </w:rPr>
              <w:t xml:space="preserve"> </w:t>
            </w:r>
            <w:hyperlink r:id="rId141"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42"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43"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 xml:space="preserve">f the identity of the advertiser, under Provisions 1 (f) and 2 </w:t>
            </w:r>
            <w:r w:rsidRPr="00D63DAE">
              <w:rPr>
                <w:rFonts w:ascii="Arial" w:hAnsi="Arial" w:cs="Arial"/>
                <w:sz w:val="22"/>
                <w:szCs w:val="22"/>
              </w:rPr>
              <w:t>(</w:t>
            </w:r>
            <w:hyperlink r:id="rId144" w:history="1">
              <w:r w:rsidRPr="00D63DAE">
                <w:rPr>
                  <w:rStyle w:val="Hyperlink"/>
                  <w:rFonts w:ascii="Arial" w:hAnsi="Arial" w:cs="Arial"/>
                  <w:sz w:val="22"/>
                  <w:szCs w:val="22"/>
                </w:rPr>
                <w:t>ASC 2019b</w:t>
              </w:r>
            </w:hyperlink>
            <w:r w:rsidRPr="00D63DAE">
              <w:rPr>
                <w:rFonts w:ascii="Arial" w:hAnsi="Arial" w:cs="Arial"/>
                <w:sz w:val="22"/>
                <w:szCs w:val="22"/>
              </w:rPr>
              <w:t>).</w:t>
            </w:r>
          </w:p>
          <w:p w14:paraId="4FBA8A65" w14:textId="77777777" w:rsidR="00507268" w:rsidRDefault="00507268" w:rsidP="0002289F">
            <w:pPr>
              <w:cnfStyle w:val="000000100000" w:firstRow="0" w:lastRow="0" w:firstColumn="0" w:lastColumn="0" w:oddVBand="0" w:evenVBand="0" w:oddHBand="1" w:evenHBand="0" w:firstRowFirstColumn="0" w:firstRowLastColumn="0" w:lastRowFirstColumn="0" w:lastRowLastColumn="0"/>
            </w:pPr>
          </w:p>
          <w:p w14:paraId="650EA1ED" w14:textId="77777777" w:rsidR="00507268" w:rsidRDefault="00507268" w:rsidP="0002289F">
            <w:pPr>
              <w:cnfStyle w:val="000000100000" w:firstRow="0" w:lastRow="0" w:firstColumn="0" w:lastColumn="0" w:oddVBand="0" w:evenVBand="0" w:oddHBand="1" w:evenHBand="0" w:firstRowFirstColumn="0" w:firstRowLastColumn="0" w:lastRowFirstColumn="0" w:lastRowLastColumn="0"/>
            </w:pPr>
          </w:p>
          <w:p w14:paraId="6BF8E655" w14:textId="425C2BF1" w:rsidR="0002289F" w:rsidRDefault="00000000" w:rsidP="0002289F">
            <w:pPr>
              <w:cnfStyle w:val="000000100000" w:firstRow="0" w:lastRow="0" w:firstColumn="0" w:lastColumn="0" w:oddVBand="0" w:evenVBand="0" w:oddHBand="1" w:evenHBand="0" w:firstRowFirstColumn="0" w:firstRowLastColumn="0" w:lastRowFirstColumn="0" w:lastRowLastColumn="0"/>
            </w:pPr>
            <w:hyperlink r:id="rId145" w:history="1">
              <w:r w:rsidR="0002289F" w:rsidRPr="0002289F">
                <w:rPr>
                  <w:rStyle w:val="Hyperlink"/>
                </w:rPr>
                <w:t>The Digital Advertising Alliance of Canada</w:t>
              </w:r>
            </w:hyperlink>
            <w:r w:rsidR="0002289F">
              <w:t xml:space="preserve"> (DAA) produced </w:t>
            </w:r>
            <w:hyperlink r:id="rId146" w:history="1">
              <w:r w:rsidR="0002289F" w:rsidRPr="0002289F">
                <w:rPr>
                  <w:rStyle w:val="Hyperlink"/>
                </w:rPr>
                <w:t>DAA Self-Regulatory Principles</w:t>
              </w:r>
            </w:hyperlink>
            <w:r w:rsidR="0002289F">
              <w:t>, guidelines addressing multiple areas of regulation including transparency in digital environments and Online Behavioural Advertising (</w:t>
            </w:r>
            <w:hyperlink r:id="rId147" w:history="1">
              <w:r w:rsidR="0002289F" w:rsidRPr="0002289F">
                <w:rPr>
                  <w:rStyle w:val="Hyperlink"/>
                </w:rPr>
                <w:t>DAA n.d.</w:t>
              </w:r>
            </w:hyperlink>
            <w:r w:rsidR="0002289F">
              <w:t>).</w:t>
            </w:r>
          </w:p>
          <w:p w14:paraId="57BC9018" w14:textId="3CF92F9B" w:rsidR="003369C4" w:rsidRPr="006E4E36" w:rsidRDefault="003369C4" w:rsidP="0019378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tc>
      </w:tr>
      <w:tr w:rsidR="003369C4" w:rsidRPr="006E4E36"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6E4E36" w:rsidRDefault="00340625" w:rsidP="0081091B">
            <w:pPr>
              <w:rPr>
                <w:color w:val="3A3A3A" w:themeColor="background2" w:themeShade="40"/>
              </w:rPr>
            </w:pPr>
            <w:r w:rsidRPr="006E4E36">
              <w:rPr>
                <w:color w:val="747474" w:themeColor="background2" w:themeShade="80"/>
              </w:rPr>
              <w:lastRenderedPageBreak/>
              <w:t>10</w:t>
            </w:r>
            <w:r w:rsidR="003369C4" w:rsidRPr="006E4E36">
              <w:rPr>
                <w:color w:val="747474" w:themeColor="background2" w:themeShade="80"/>
              </w:rPr>
              <w:t>.2</w:t>
            </w:r>
          </w:p>
        </w:tc>
        <w:tc>
          <w:tcPr>
            <w:tcW w:w="2126" w:type="dxa"/>
          </w:tcPr>
          <w:p w14:paraId="778FC3D1" w14:textId="0C57B7D3" w:rsidR="003369C4" w:rsidRPr="006E4E36"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61582023" w14:textId="77777777" w:rsidR="003369C4" w:rsidRPr="006E4E36"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0A8927C8" w:rsidR="003369C4"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bl>
    <w:p w14:paraId="7435A3C0" w14:textId="77777777" w:rsidR="009F40CC" w:rsidRPr="006E4E36" w:rsidRDefault="009F40CC" w:rsidP="009F40CC">
      <w:pPr>
        <w:pStyle w:val="SectionHead"/>
        <w:rPr>
          <w:rFonts w:cs="Arial"/>
          <w:iCs w:val="0"/>
        </w:rPr>
      </w:pPr>
      <w:bookmarkStart w:id="13" w:name="_Toc172573293"/>
      <w:r w:rsidRPr="006E4E36">
        <w:rPr>
          <w:rFonts w:cs="Arial"/>
          <w:iCs w:val="0"/>
        </w:rPr>
        <w:t>Social Media Marketing</w:t>
      </w:r>
      <w:bookmarkEnd w:id="13"/>
      <w:r w:rsidRPr="006E4E36">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6E4E36"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6E4E36" w:rsidRDefault="00331514" w:rsidP="0081091B">
            <w:pPr>
              <w:pStyle w:val="Tableheadings"/>
              <w:spacing w:line="240" w:lineRule="auto"/>
              <w:rPr>
                <w:b/>
                <w:bCs/>
              </w:rPr>
            </w:pPr>
            <w:r w:rsidRPr="006E4E36">
              <w:rPr>
                <w:b/>
                <w:bCs/>
              </w:rPr>
              <w:t>Item</w:t>
            </w:r>
          </w:p>
        </w:tc>
        <w:tc>
          <w:tcPr>
            <w:tcW w:w="2126" w:type="dxa"/>
            <w:tcBorders>
              <w:bottom w:val="none" w:sz="0" w:space="0" w:color="auto"/>
            </w:tcBorders>
          </w:tcPr>
          <w:p w14:paraId="3CDE25AA" w14:textId="77777777" w:rsidR="00331514" w:rsidRPr="006E4E3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3157C114" w14:textId="77777777" w:rsidR="00331514" w:rsidRPr="006E4E3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0E96D956" w14:textId="77777777" w:rsidR="00331514" w:rsidRPr="006E4E36"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331514" w:rsidRPr="006E4E36"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6E4E36" w:rsidRDefault="00331514" w:rsidP="0081091B">
            <w:pPr>
              <w:rPr>
                <w:b w:val="0"/>
                <w:bCs w:val="0"/>
                <w:color w:val="747474" w:themeColor="background2" w:themeShade="80"/>
              </w:rPr>
            </w:pPr>
            <w:r w:rsidRPr="006E4E36">
              <w:rPr>
                <w:color w:val="747474" w:themeColor="background2" w:themeShade="80"/>
              </w:rPr>
              <w:t>1</w:t>
            </w:r>
            <w:r w:rsidR="006E02D3" w:rsidRPr="006E4E36">
              <w:rPr>
                <w:color w:val="747474" w:themeColor="background2" w:themeShade="80"/>
              </w:rPr>
              <w:t>1</w:t>
            </w:r>
            <w:r w:rsidRPr="006E4E36">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6E4E36"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6E4E36"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248288D" w14:textId="77777777" w:rsidR="00507268" w:rsidRPr="00D63DAE"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48"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49"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50"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 xml:space="preserve">f the identity of the advertiser, under Provisions 1 (f) and 2 </w:t>
            </w:r>
            <w:r w:rsidRPr="00D63DAE">
              <w:rPr>
                <w:rFonts w:ascii="Arial" w:hAnsi="Arial" w:cs="Arial"/>
                <w:sz w:val="22"/>
                <w:szCs w:val="22"/>
              </w:rPr>
              <w:t>(</w:t>
            </w:r>
            <w:hyperlink r:id="rId151" w:history="1">
              <w:r w:rsidRPr="00D63DAE">
                <w:rPr>
                  <w:rStyle w:val="Hyperlink"/>
                  <w:rFonts w:ascii="Arial" w:hAnsi="Arial" w:cs="Arial"/>
                  <w:sz w:val="22"/>
                  <w:szCs w:val="22"/>
                </w:rPr>
                <w:t>ASC 2019b</w:t>
              </w:r>
            </w:hyperlink>
            <w:r w:rsidRPr="00D63DAE">
              <w:rPr>
                <w:rFonts w:ascii="Arial" w:hAnsi="Arial" w:cs="Arial"/>
                <w:sz w:val="22"/>
                <w:szCs w:val="22"/>
              </w:rPr>
              <w:t>).</w:t>
            </w:r>
          </w:p>
          <w:p w14:paraId="79C141B2" w14:textId="77777777" w:rsidR="005E5826" w:rsidRDefault="005E5826" w:rsidP="00932FF7">
            <w:pPr>
              <w:cnfStyle w:val="000000100000" w:firstRow="0" w:lastRow="0" w:firstColumn="0" w:lastColumn="0" w:oddVBand="0" w:evenVBand="0" w:oddHBand="1" w:evenHBand="0" w:firstRowFirstColumn="0" w:firstRowLastColumn="0" w:lastRowFirstColumn="0" w:lastRowLastColumn="0"/>
            </w:pPr>
          </w:p>
          <w:p w14:paraId="01979212" w14:textId="338B156A" w:rsidR="00331514" w:rsidRDefault="00932FF7" w:rsidP="00932FF7">
            <w:pPr>
              <w:cnfStyle w:val="000000100000" w:firstRow="0" w:lastRow="0" w:firstColumn="0" w:lastColumn="0" w:oddVBand="0" w:evenVBand="0" w:oddHBand="1" w:evenHBand="0" w:firstRowFirstColumn="0" w:firstRowLastColumn="0" w:lastRowFirstColumn="0" w:lastRowLastColumn="0"/>
            </w:pPr>
            <w:r>
              <w:t xml:space="preserve">In 2023, </w:t>
            </w:r>
            <w:hyperlink r:id="rId152" w:history="1">
              <w:r w:rsidRPr="001B2B13">
                <w:rPr>
                  <w:rStyle w:val="Hyperlink"/>
                </w:rPr>
                <w:t>Advertising Standards—Canada</w:t>
              </w:r>
            </w:hyperlink>
            <w:r>
              <w:t xml:space="preserve"> (ASC) produced the </w:t>
            </w:r>
            <w:hyperlink r:id="rId153" w:history="1">
              <w:r w:rsidRPr="00932FF7">
                <w:rPr>
                  <w:rStyle w:val="Hyperlink"/>
                </w:rPr>
                <w:t>Influencer Marketing Disclosure Guidelines</w:t>
              </w:r>
            </w:hyperlink>
            <w:r>
              <w:t>, which were created by the Influencer Marketing Steering Committee (</w:t>
            </w:r>
            <w:hyperlink r:id="rId154" w:history="1">
              <w:r w:rsidRPr="00932FF7">
                <w:rPr>
                  <w:rStyle w:val="Hyperlink"/>
                </w:rPr>
                <w:t>ASC 2023</w:t>
              </w:r>
            </w:hyperlink>
            <w:r>
              <w:t>).</w:t>
            </w:r>
          </w:p>
          <w:p w14:paraId="4CA0C61E" w14:textId="6F62F9E8" w:rsidR="00C3510F" w:rsidRDefault="00C3510F" w:rsidP="00932FF7">
            <w:pPr>
              <w:cnfStyle w:val="000000100000" w:firstRow="0" w:lastRow="0" w:firstColumn="0" w:lastColumn="0" w:oddVBand="0" w:evenVBand="0" w:oddHBand="1" w:evenHBand="0" w:firstRowFirstColumn="0" w:firstRowLastColumn="0" w:lastRowFirstColumn="0" w:lastRowLastColumn="0"/>
            </w:pPr>
          </w:p>
          <w:p w14:paraId="43CF43ED" w14:textId="20E3F7E4" w:rsidR="00C3510F" w:rsidRPr="006E4E36" w:rsidRDefault="00000000" w:rsidP="00932FF7">
            <w:pPr>
              <w:cnfStyle w:val="000000100000" w:firstRow="0" w:lastRow="0" w:firstColumn="0" w:lastColumn="0" w:oddVBand="0" w:evenVBand="0" w:oddHBand="1" w:evenHBand="0" w:firstRowFirstColumn="0" w:firstRowLastColumn="0" w:lastRowFirstColumn="0" w:lastRowLastColumn="0"/>
            </w:pPr>
            <w:hyperlink r:id="rId155" w:history="1">
              <w:r w:rsidR="00C3510F" w:rsidRPr="00BE4FF7">
                <w:rPr>
                  <w:rStyle w:val="Hyperlink"/>
                </w:rPr>
                <w:t>The Competition Bureau</w:t>
              </w:r>
            </w:hyperlink>
            <w:r w:rsidR="00C3510F" w:rsidRPr="00BE4FF7">
              <w:t xml:space="preserve"> </w:t>
            </w:r>
            <w:r w:rsidR="00C3510F">
              <w:t xml:space="preserve">published guidelines about </w:t>
            </w:r>
            <w:hyperlink r:id="rId156" w:history="1">
              <w:r w:rsidR="00C3510F">
                <w:rPr>
                  <w:rStyle w:val="Hyperlink"/>
                </w:rPr>
                <w:t xml:space="preserve">Influencer </w:t>
              </w:r>
              <w:r w:rsidR="00983366">
                <w:rPr>
                  <w:rStyle w:val="Hyperlink"/>
                </w:rPr>
                <w:t>M</w:t>
              </w:r>
              <w:r w:rsidR="00C3510F">
                <w:rPr>
                  <w:rStyle w:val="Hyperlink"/>
                </w:rPr>
                <w:t>arketing and the Competition Act</w:t>
              </w:r>
            </w:hyperlink>
            <w:r w:rsidR="00C3510F">
              <w:t xml:space="preserve"> (</w:t>
            </w:r>
            <w:hyperlink r:id="rId157" w:history="1">
              <w:r w:rsidR="00C3510F" w:rsidRPr="00983366">
                <w:rPr>
                  <w:rStyle w:val="Hyperlink"/>
                </w:rPr>
                <w:t>The C</w:t>
              </w:r>
              <w:r w:rsidR="00983366" w:rsidRPr="00983366">
                <w:rPr>
                  <w:rStyle w:val="Hyperlink"/>
                </w:rPr>
                <w:t>ompetition Bureau 202</w:t>
              </w:r>
              <w:r w:rsidR="00983366">
                <w:rPr>
                  <w:rStyle w:val="Hyperlink"/>
                </w:rPr>
                <w:t>2a</w:t>
              </w:r>
            </w:hyperlink>
            <w:r w:rsidR="00983366">
              <w:t>) and, earlier, made Influencer Marketing the main subject of t</w:t>
            </w:r>
            <w:r w:rsidR="00983366" w:rsidRPr="00983366">
              <w:t xml:space="preserve">he </w:t>
            </w:r>
            <w:hyperlink r:id="rId158" w:anchor="sec01" w:history="1">
              <w:r w:rsidR="00983366" w:rsidRPr="00983366">
                <w:rPr>
                  <w:rStyle w:val="Hyperlink"/>
                </w:rPr>
                <w:t>Deceptive Marketing Practices Digest — Volume 4</w:t>
              </w:r>
            </w:hyperlink>
            <w:r w:rsidR="00983366">
              <w:t xml:space="preserve"> including a checklist for influencers, which allows them to test themselves for compliance with the requirements to disclose commercial communications </w:t>
            </w:r>
            <w:r w:rsidR="00983366" w:rsidRPr="00983366">
              <w:t>(</w:t>
            </w:r>
            <w:hyperlink r:id="rId159" w:anchor="sec01" w:history="1">
              <w:r w:rsidR="00983366" w:rsidRPr="00983366">
                <w:rPr>
                  <w:rStyle w:val="Hyperlink"/>
                </w:rPr>
                <w:t>The Competition Bureau 2018</w:t>
              </w:r>
            </w:hyperlink>
            <w:r w:rsidR="00983366" w:rsidRPr="00983366">
              <w:t>)</w:t>
            </w:r>
            <w:r w:rsidR="00983366">
              <w:t>.</w:t>
            </w:r>
          </w:p>
        </w:tc>
      </w:tr>
      <w:tr w:rsidR="00331514" w:rsidRPr="006E4E36"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75824237" w:rsidR="00331514" w:rsidRPr="006E4E36" w:rsidRDefault="00932FF7" w:rsidP="0081091B">
            <w:pPr>
              <w:rPr>
                <w:color w:val="3A3A3A" w:themeColor="background2" w:themeShade="40"/>
              </w:rPr>
            </w:pPr>
            <w:r>
              <w:rPr>
                <w:color w:val="747474" w:themeColor="background2" w:themeShade="80"/>
              </w:rPr>
              <w:t xml:space="preserve"> </w:t>
            </w:r>
            <w:r w:rsidR="00331514" w:rsidRPr="006E4E36">
              <w:rPr>
                <w:color w:val="747474" w:themeColor="background2" w:themeShade="80"/>
              </w:rPr>
              <w:t>1</w:t>
            </w:r>
            <w:r w:rsidR="006E02D3" w:rsidRPr="006E4E36">
              <w:rPr>
                <w:color w:val="747474" w:themeColor="background2" w:themeShade="80"/>
              </w:rPr>
              <w:t>1</w:t>
            </w:r>
            <w:r w:rsidR="00331514" w:rsidRPr="006E4E36">
              <w:rPr>
                <w:color w:val="747474" w:themeColor="background2" w:themeShade="80"/>
              </w:rPr>
              <w:t>.2</w:t>
            </w:r>
          </w:p>
        </w:tc>
        <w:tc>
          <w:tcPr>
            <w:tcW w:w="2126" w:type="dxa"/>
          </w:tcPr>
          <w:p w14:paraId="43ACA10A" w14:textId="011FC28B" w:rsidR="00331514" w:rsidRPr="006E4E36"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 xml:space="preserve">How is branded content described </w:t>
            </w:r>
            <w:r w:rsidRPr="006E4E36">
              <w:lastRenderedPageBreak/>
              <w:t>and ordered in governance?</w:t>
            </w:r>
          </w:p>
        </w:tc>
        <w:tc>
          <w:tcPr>
            <w:tcW w:w="2127" w:type="dxa"/>
          </w:tcPr>
          <w:p w14:paraId="50AADCEA" w14:textId="77777777" w:rsidR="00331514" w:rsidRPr="006E4E36"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4AC7DDE0" w:rsidR="00331514"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E12F95" w:rsidRPr="006E4E36"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6E4E36" w:rsidRDefault="00E12F95" w:rsidP="0081091B">
            <w:pPr>
              <w:rPr>
                <w:color w:val="747474" w:themeColor="background2" w:themeShade="80"/>
              </w:rPr>
            </w:pPr>
            <w:r w:rsidRPr="006E4E36">
              <w:rPr>
                <w:color w:val="747474" w:themeColor="background2" w:themeShade="80"/>
              </w:rPr>
              <w:t>11.3</w:t>
            </w:r>
          </w:p>
        </w:tc>
        <w:tc>
          <w:tcPr>
            <w:tcW w:w="2126" w:type="dxa"/>
          </w:tcPr>
          <w:p w14:paraId="77267AD2" w14:textId="14E350A5" w:rsidR="00E12F95" w:rsidRPr="006E4E36"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Are there any special rules governing the use of social media for advertising purposes?</w:t>
            </w:r>
          </w:p>
        </w:tc>
        <w:tc>
          <w:tcPr>
            <w:tcW w:w="2127" w:type="dxa"/>
          </w:tcPr>
          <w:p w14:paraId="1A42CFBD" w14:textId="77777777" w:rsidR="00E12F95" w:rsidRPr="006E4E36"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EC5484C" w14:textId="62874C50" w:rsidR="002355A7" w:rsidRDefault="002355A7" w:rsidP="002355A7">
            <w:pPr>
              <w:cnfStyle w:val="000000100000" w:firstRow="0" w:lastRow="0" w:firstColumn="0" w:lastColumn="0" w:oddVBand="0" w:evenVBand="0" w:oddHBand="1" w:evenHBand="0" w:firstRowFirstColumn="0" w:firstRowLastColumn="0" w:lastRowFirstColumn="0" w:lastRowLastColumn="0"/>
            </w:pPr>
            <w:r>
              <w:t xml:space="preserve">According to GALA, no laws in Canada are specific to social media, but the general laws apply (GALA 2024: 177). For general disclosure rules, please see </w:t>
            </w:r>
            <w:r w:rsidRPr="002355A7">
              <w:rPr>
                <w:b/>
                <w:bCs/>
              </w:rPr>
              <w:t>6.1</w:t>
            </w:r>
            <w:r>
              <w:t xml:space="preserve">. </w:t>
            </w:r>
          </w:p>
          <w:p w14:paraId="10284C78" w14:textId="77777777" w:rsidR="00E12F95" w:rsidRPr="006E4E36" w:rsidRDefault="00E12F95" w:rsidP="0081091B">
            <w:pPr>
              <w:cnfStyle w:val="000000100000" w:firstRow="0" w:lastRow="0" w:firstColumn="0" w:lastColumn="0" w:oddVBand="0" w:evenVBand="0" w:oddHBand="1" w:evenHBand="0" w:firstRowFirstColumn="0" w:firstRowLastColumn="0" w:lastRowFirstColumn="0" w:lastRowLastColumn="0"/>
            </w:pPr>
          </w:p>
        </w:tc>
      </w:tr>
      <w:tr w:rsidR="00E12F95" w:rsidRPr="006E4E36"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6E4E36" w:rsidRDefault="00E12F95" w:rsidP="0081091B">
            <w:pPr>
              <w:rPr>
                <w:color w:val="747474" w:themeColor="background2" w:themeShade="80"/>
              </w:rPr>
            </w:pPr>
            <w:r w:rsidRPr="006E4E36">
              <w:rPr>
                <w:color w:val="747474" w:themeColor="background2" w:themeShade="80"/>
              </w:rPr>
              <w:t>11.4</w:t>
            </w:r>
          </w:p>
        </w:tc>
        <w:tc>
          <w:tcPr>
            <w:tcW w:w="2126" w:type="dxa"/>
          </w:tcPr>
          <w:p w14:paraId="6B0B5846" w14:textId="0EA2B338" w:rsidR="00E12F95" w:rsidRPr="006E4E36"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Is an advertiser responsible for advertising claims made in user generated content?</w:t>
            </w:r>
          </w:p>
        </w:tc>
        <w:tc>
          <w:tcPr>
            <w:tcW w:w="2127" w:type="dxa"/>
          </w:tcPr>
          <w:p w14:paraId="2D465AA9" w14:textId="77777777" w:rsidR="00E12F95" w:rsidRPr="006E4E36"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097B962" w:rsidR="00E12F95"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r w:rsidR="00E12F95" w:rsidRPr="006E4E36"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6E4E36" w:rsidRDefault="00E12F95" w:rsidP="0081091B">
            <w:pPr>
              <w:rPr>
                <w:color w:val="747474" w:themeColor="background2" w:themeShade="80"/>
              </w:rPr>
            </w:pPr>
            <w:r w:rsidRPr="006E4E36">
              <w:rPr>
                <w:color w:val="747474" w:themeColor="background2" w:themeShade="80"/>
              </w:rPr>
              <w:t>11.5</w:t>
            </w:r>
          </w:p>
        </w:tc>
        <w:tc>
          <w:tcPr>
            <w:tcW w:w="2126" w:type="dxa"/>
          </w:tcPr>
          <w:p w14:paraId="783C616A" w14:textId="74035EE6" w:rsidR="00E12F95" w:rsidRPr="006E4E36"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Are there any key court or self-regulatory decisions regarding the use of social media and user generated content for marketing communications?</w:t>
            </w:r>
          </w:p>
        </w:tc>
        <w:tc>
          <w:tcPr>
            <w:tcW w:w="2127" w:type="dxa"/>
          </w:tcPr>
          <w:p w14:paraId="3F7226FB" w14:textId="77777777" w:rsidR="00E12F95" w:rsidRPr="006E4E36"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07AFCABC" w:rsidR="00E12F95" w:rsidRPr="006E4E36" w:rsidRDefault="00507268" w:rsidP="0081091B">
            <w:pPr>
              <w:cnfStyle w:val="000000100000" w:firstRow="0" w:lastRow="0" w:firstColumn="0" w:lastColumn="0" w:oddVBand="0" w:evenVBand="0" w:oddHBand="1" w:evenHBand="0" w:firstRowFirstColumn="0" w:firstRowLastColumn="0" w:lastRowFirstColumn="0" w:lastRowLastColumn="0"/>
            </w:pPr>
            <w:r w:rsidRPr="003D30DB">
              <w:rPr>
                <w:i/>
                <w:iCs/>
              </w:rPr>
              <w:t>This section is under development</w:t>
            </w:r>
          </w:p>
        </w:tc>
      </w:tr>
    </w:tbl>
    <w:p w14:paraId="3A9CAB14" w14:textId="756A5F8C" w:rsidR="00AD163A" w:rsidRPr="006E4E36" w:rsidRDefault="003A2DAE" w:rsidP="00AD163A">
      <w:pPr>
        <w:pStyle w:val="SectionHead"/>
        <w:rPr>
          <w:rFonts w:cs="Arial"/>
          <w:iCs w:val="0"/>
        </w:rPr>
      </w:pPr>
      <w:bookmarkStart w:id="14" w:name="_Toc172573294"/>
      <w:r w:rsidRPr="006E4E36">
        <w:rPr>
          <w:rFonts w:cs="Arial"/>
          <w:iCs w:val="0"/>
        </w:rPr>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6E4E36"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6E4E36" w:rsidRDefault="00AD163A" w:rsidP="0081091B">
            <w:pPr>
              <w:pStyle w:val="Tableheadings"/>
              <w:spacing w:line="240" w:lineRule="auto"/>
              <w:rPr>
                <w:b/>
                <w:bCs/>
              </w:rPr>
            </w:pPr>
            <w:r w:rsidRPr="006E4E36">
              <w:rPr>
                <w:b/>
                <w:bCs/>
              </w:rPr>
              <w:t>Item</w:t>
            </w:r>
          </w:p>
        </w:tc>
        <w:tc>
          <w:tcPr>
            <w:tcW w:w="2126" w:type="dxa"/>
            <w:tcBorders>
              <w:bottom w:val="none" w:sz="0" w:space="0" w:color="auto"/>
            </w:tcBorders>
          </w:tcPr>
          <w:p w14:paraId="0FEDA29A" w14:textId="77777777" w:rsidR="00AD163A" w:rsidRPr="006E4E3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2A83AD1D" w14:textId="77777777" w:rsidR="00AD163A" w:rsidRPr="006E4E3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1894E9BC" w14:textId="77777777" w:rsidR="00AD163A" w:rsidRPr="006E4E36"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AD163A" w:rsidRPr="006E4E36"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6E4E36" w:rsidRDefault="00AD163A" w:rsidP="0081091B">
            <w:pPr>
              <w:rPr>
                <w:b w:val="0"/>
                <w:bCs w:val="0"/>
                <w:color w:val="747474" w:themeColor="background2" w:themeShade="80"/>
              </w:rPr>
            </w:pPr>
            <w:r w:rsidRPr="006E4E36">
              <w:rPr>
                <w:color w:val="747474" w:themeColor="background2" w:themeShade="80"/>
              </w:rPr>
              <w:t>1</w:t>
            </w:r>
            <w:r w:rsidR="00C43C89" w:rsidRPr="006E4E36">
              <w:rPr>
                <w:color w:val="747474" w:themeColor="background2" w:themeShade="80"/>
              </w:rPr>
              <w:t>2</w:t>
            </w:r>
            <w:r w:rsidRPr="006E4E36">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6E4E36"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6E4E36"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5488ADA" w14:textId="77777777" w:rsidR="00507268" w:rsidRPr="00D63DAE"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60"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61"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62"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 xml:space="preserve">f the identity of the advertiser, under Provisions 1 (f) and 2 </w:t>
            </w:r>
            <w:r w:rsidRPr="00D63DAE">
              <w:rPr>
                <w:rFonts w:ascii="Arial" w:hAnsi="Arial" w:cs="Arial"/>
                <w:sz w:val="22"/>
                <w:szCs w:val="22"/>
              </w:rPr>
              <w:t>(</w:t>
            </w:r>
            <w:hyperlink r:id="rId163" w:history="1">
              <w:r w:rsidRPr="00D63DAE">
                <w:rPr>
                  <w:rStyle w:val="Hyperlink"/>
                  <w:rFonts w:ascii="Arial" w:hAnsi="Arial" w:cs="Arial"/>
                  <w:sz w:val="22"/>
                  <w:szCs w:val="22"/>
                </w:rPr>
                <w:t>ASC 2019b</w:t>
              </w:r>
            </w:hyperlink>
            <w:r w:rsidRPr="00D63DAE">
              <w:rPr>
                <w:rFonts w:ascii="Arial" w:hAnsi="Arial" w:cs="Arial"/>
                <w:sz w:val="22"/>
                <w:szCs w:val="22"/>
              </w:rPr>
              <w:t>).</w:t>
            </w:r>
          </w:p>
          <w:p w14:paraId="3396A3E4" w14:textId="14823008" w:rsidR="00AD163A" w:rsidRPr="006E4E36" w:rsidRDefault="00AD163A" w:rsidP="0081091B">
            <w:pPr>
              <w:cnfStyle w:val="000000100000" w:firstRow="0" w:lastRow="0" w:firstColumn="0" w:lastColumn="0" w:oddVBand="0" w:evenVBand="0" w:oddHBand="1" w:evenHBand="0" w:firstRowFirstColumn="0" w:firstRowLastColumn="0" w:lastRowFirstColumn="0" w:lastRowLastColumn="0"/>
            </w:pPr>
          </w:p>
        </w:tc>
      </w:tr>
      <w:tr w:rsidR="00AD163A" w:rsidRPr="006E4E36"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6E4E36" w:rsidRDefault="00AD163A" w:rsidP="0081091B">
            <w:pPr>
              <w:rPr>
                <w:color w:val="3A3A3A" w:themeColor="background2" w:themeShade="40"/>
              </w:rPr>
            </w:pPr>
            <w:r w:rsidRPr="006E4E36">
              <w:rPr>
                <w:color w:val="747474" w:themeColor="background2" w:themeShade="80"/>
              </w:rPr>
              <w:t>1</w:t>
            </w:r>
            <w:r w:rsidR="00C43C89" w:rsidRPr="006E4E36">
              <w:rPr>
                <w:color w:val="747474" w:themeColor="background2" w:themeShade="80"/>
              </w:rPr>
              <w:t>2</w:t>
            </w:r>
            <w:r w:rsidRPr="006E4E36">
              <w:rPr>
                <w:color w:val="747474" w:themeColor="background2" w:themeShade="80"/>
              </w:rPr>
              <w:t>.2</w:t>
            </w:r>
          </w:p>
        </w:tc>
        <w:tc>
          <w:tcPr>
            <w:tcW w:w="2126" w:type="dxa"/>
          </w:tcPr>
          <w:p w14:paraId="7ED0E092" w14:textId="5C919167" w:rsidR="00AD163A" w:rsidRPr="006E4E36"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2E444118" w14:textId="77777777" w:rsidR="00AD163A" w:rsidRPr="006E4E36"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7E013196" w:rsidR="00AD163A"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bl>
    <w:p w14:paraId="5E31E6A2" w14:textId="77777777" w:rsidR="000A52F4" w:rsidRPr="006E4E36" w:rsidRDefault="000A52F4" w:rsidP="00123C17">
      <w:pPr>
        <w:pStyle w:val="SectionHead"/>
        <w:rPr>
          <w:rFonts w:cs="Arial"/>
        </w:rPr>
      </w:pPr>
      <w:bookmarkStart w:id="15" w:name="_Toc172573295"/>
      <w:r w:rsidRPr="006E4E36">
        <w:rPr>
          <w:rFonts w:cs="Arial"/>
        </w:rPr>
        <w:lastRenderedPageBreak/>
        <w:t>Experiential</w:t>
      </w:r>
      <w:bookmarkEnd w:id="15"/>
      <w:r w:rsidRPr="006E4E36">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6E4E36"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6E4E36" w:rsidRDefault="009521E3" w:rsidP="0081091B">
            <w:pPr>
              <w:pStyle w:val="Tableheadings"/>
              <w:spacing w:line="240" w:lineRule="auto"/>
              <w:rPr>
                <w:b/>
                <w:bCs/>
              </w:rPr>
            </w:pPr>
            <w:r w:rsidRPr="006E4E36">
              <w:rPr>
                <w:b/>
                <w:bCs/>
              </w:rPr>
              <w:t>Item</w:t>
            </w:r>
          </w:p>
        </w:tc>
        <w:tc>
          <w:tcPr>
            <w:tcW w:w="2126" w:type="dxa"/>
            <w:tcBorders>
              <w:bottom w:val="none" w:sz="0" w:space="0" w:color="auto"/>
            </w:tcBorders>
          </w:tcPr>
          <w:p w14:paraId="675B46BC" w14:textId="77777777" w:rsidR="009521E3" w:rsidRPr="006E4E3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33B586B8" w14:textId="77777777" w:rsidR="009521E3" w:rsidRPr="006E4E3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 xml:space="preserve">Classification </w:t>
            </w:r>
          </w:p>
        </w:tc>
        <w:tc>
          <w:tcPr>
            <w:tcW w:w="5670" w:type="dxa"/>
            <w:tcBorders>
              <w:bottom w:val="none" w:sz="0" w:space="0" w:color="auto"/>
            </w:tcBorders>
          </w:tcPr>
          <w:p w14:paraId="55FE1450" w14:textId="77777777" w:rsidR="009521E3" w:rsidRPr="006E4E36"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9521E3" w:rsidRPr="006E4E36"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6E4E36" w:rsidRDefault="009521E3" w:rsidP="0081091B">
            <w:pPr>
              <w:rPr>
                <w:b w:val="0"/>
                <w:bCs w:val="0"/>
                <w:color w:val="747474" w:themeColor="background2" w:themeShade="80"/>
              </w:rPr>
            </w:pPr>
            <w:r w:rsidRPr="006E4E36">
              <w:rPr>
                <w:color w:val="747474" w:themeColor="background2" w:themeShade="80"/>
              </w:rPr>
              <w:t>1</w:t>
            </w:r>
            <w:r w:rsidR="000A52F4" w:rsidRPr="006E4E36">
              <w:rPr>
                <w:color w:val="747474" w:themeColor="background2" w:themeShade="80"/>
              </w:rPr>
              <w:t>3</w:t>
            </w:r>
            <w:r w:rsidRPr="006E4E36">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6E4E36"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6E4E36"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3A1428F0" w:rsidR="009521E3" w:rsidRPr="00507268" w:rsidRDefault="00507268" w:rsidP="0050726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63DAE">
              <w:rPr>
                <w:rFonts w:ascii="Arial" w:hAnsi="Arial" w:cs="Arial"/>
                <w:sz w:val="22"/>
                <w:szCs w:val="22"/>
              </w:rPr>
              <w:t xml:space="preserve">The general prohibition </w:t>
            </w:r>
            <w:r w:rsidRPr="00D63DAE">
              <w:rPr>
                <w:rStyle w:val="eop"/>
                <w:rFonts w:ascii="Arial" w:eastAsiaTheme="majorEastAsia" w:hAnsi="Arial" w:cs="Arial"/>
                <w:sz w:val="22"/>
                <w:szCs w:val="22"/>
              </w:rPr>
              <w:t xml:space="preserve">against false, misleading, or otherwise deceptive marketing practices, as per the </w:t>
            </w:r>
            <w:r w:rsidRPr="00D63DAE">
              <w:rPr>
                <w:rStyle w:val="eop"/>
                <w:rFonts w:ascii="Arial" w:hAnsi="Arial" w:cs="Arial"/>
                <w:sz w:val="22"/>
                <w:szCs w:val="22"/>
              </w:rPr>
              <w:t>Canadian</w:t>
            </w:r>
            <w:r w:rsidRPr="00D63DAE">
              <w:rPr>
                <w:rFonts w:ascii="Arial" w:hAnsi="Arial" w:cs="Arial"/>
                <w:sz w:val="22"/>
                <w:szCs w:val="22"/>
              </w:rPr>
              <w:t xml:space="preserve"> </w:t>
            </w:r>
            <w:hyperlink r:id="rId164" w:tgtFrame="_blank" w:history="1">
              <w:r w:rsidRPr="00D63DAE">
                <w:rPr>
                  <w:rStyle w:val="normaltextrun"/>
                  <w:rFonts w:ascii="Arial" w:eastAsiaTheme="majorEastAsia" w:hAnsi="Arial" w:cs="Arial"/>
                  <w:color w:val="0563C1"/>
                  <w:sz w:val="22"/>
                  <w:szCs w:val="22"/>
                  <w:u w:val="single"/>
                </w:rPr>
                <w:t>Competition Act</w:t>
              </w:r>
            </w:hyperlink>
            <w:r>
              <w:rPr>
                <w:rStyle w:val="normaltextrun"/>
                <w:rFonts w:ascii="Arial" w:eastAsiaTheme="majorEastAsia" w:hAnsi="Arial" w:cs="Arial"/>
                <w:sz w:val="22"/>
                <w:szCs w:val="22"/>
              </w:rPr>
              <w:t xml:space="preserve">, </w:t>
            </w:r>
            <w:r w:rsidRPr="00D63DAE">
              <w:rPr>
                <w:rStyle w:val="normaltextrun"/>
                <w:rFonts w:ascii="Arial" w:eastAsiaTheme="majorEastAsia" w:hAnsi="Arial" w:cs="Arial"/>
                <w:sz w:val="22"/>
                <w:szCs w:val="22"/>
              </w:rPr>
              <w:t>appl</w:t>
            </w:r>
            <w:r>
              <w:rPr>
                <w:rStyle w:val="normaltextrun"/>
                <w:rFonts w:ascii="Arial" w:eastAsiaTheme="majorEastAsia" w:hAnsi="Arial" w:cs="Arial"/>
                <w:sz w:val="22"/>
                <w:szCs w:val="22"/>
              </w:rPr>
              <w:t xml:space="preserve">y across all media. </w:t>
            </w:r>
            <w:hyperlink r:id="rId165" w:history="1">
              <w:r w:rsidRPr="00D63DAE">
                <w:rPr>
                  <w:rStyle w:val="Hyperlink"/>
                  <w:rFonts w:ascii="Arial" w:hAnsi="Arial" w:cs="Arial"/>
                  <w:sz w:val="22"/>
                  <w:szCs w:val="22"/>
                </w:rPr>
                <w:t>Advertising Standards—Canada</w:t>
              </w:r>
            </w:hyperlink>
            <w:r w:rsidRPr="00D63DAE">
              <w:rPr>
                <w:rFonts w:ascii="Arial" w:hAnsi="Arial" w:cs="Arial"/>
                <w:sz w:val="22"/>
                <w:szCs w:val="22"/>
              </w:rPr>
              <w:t xml:space="preserve">’s </w:t>
            </w:r>
            <w:hyperlink r:id="rId166" w:history="1">
              <w:r w:rsidRPr="00D63DAE">
                <w:rPr>
                  <w:rStyle w:val="Hyperlink"/>
                  <w:rFonts w:ascii="Arial" w:hAnsi="Arial" w:cs="Arial"/>
                  <w:sz w:val="22"/>
                  <w:szCs w:val="22"/>
                </w:rPr>
                <w:t>Canadian Code of Advertising Standards</w:t>
              </w:r>
            </w:hyperlink>
            <w:r>
              <w:rPr>
                <w:rFonts w:ascii="Arial" w:hAnsi="Arial" w:cs="Arial"/>
                <w:sz w:val="22"/>
                <w:szCs w:val="22"/>
              </w:rPr>
              <w:t xml:space="preserve"> which encompasses all advertising, </w:t>
            </w:r>
            <w:r w:rsidRPr="00D63DAE">
              <w:rPr>
                <w:rFonts w:ascii="Arial" w:hAnsi="Arial" w:cs="Arial"/>
                <w:sz w:val="22"/>
                <w:szCs w:val="22"/>
              </w:rPr>
              <w:t>prohibits hidden advertising</w:t>
            </w:r>
            <w:r>
              <w:rPr>
                <w:rFonts w:ascii="Arial" w:hAnsi="Arial" w:cs="Arial"/>
                <w:sz w:val="22"/>
                <w:szCs w:val="22"/>
              </w:rPr>
              <w:t>,</w:t>
            </w:r>
            <w:r w:rsidRPr="00D63DAE">
              <w:rPr>
                <w:rFonts w:ascii="Arial" w:hAnsi="Arial" w:cs="Arial"/>
                <w:sz w:val="22"/>
                <w:szCs w:val="22"/>
              </w:rPr>
              <w:t xml:space="preserve"> and requires the disclosure o</w:t>
            </w:r>
            <w:r>
              <w:rPr>
                <w:rFonts w:ascii="Arial" w:hAnsi="Arial" w:cs="Arial"/>
                <w:sz w:val="22"/>
                <w:szCs w:val="22"/>
              </w:rPr>
              <w:t xml:space="preserve">f the identity of the advertiser, under Provisions 1 (f) and 2 </w:t>
            </w:r>
            <w:r w:rsidRPr="00D63DAE">
              <w:rPr>
                <w:rFonts w:ascii="Arial" w:hAnsi="Arial" w:cs="Arial"/>
                <w:sz w:val="22"/>
                <w:szCs w:val="22"/>
              </w:rPr>
              <w:t>(</w:t>
            </w:r>
            <w:hyperlink r:id="rId167" w:history="1">
              <w:r w:rsidRPr="00D63DAE">
                <w:rPr>
                  <w:rStyle w:val="Hyperlink"/>
                  <w:rFonts w:ascii="Arial" w:hAnsi="Arial" w:cs="Arial"/>
                  <w:sz w:val="22"/>
                  <w:szCs w:val="22"/>
                </w:rPr>
                <w:t>ASC 2019b</w:t>
              </w:r>
            </w:hyperlink>
            <w:r w:rsidRPr="00D63DAE">
              <w:rPr>
                <w:rFonts w:ascii="Arial" w:hAnsi="Arial" w:cs="Arial"/>
                <w:sz w:val="22"/>
                <w:szCs w:val="22"/>
              </w:rPr>
              <w:t>).</w:t>
            </w:r>
          </w:p>
        </w:tc>
      </w:tr>
      <w:tr w:rsidR="009521E3" w:rsidRPr="006E4E36"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6E4E36" w:rsidRDefault="009521E3" w:rsidP="0081091B">
            <w:pPr>
              <w:rPr>
                <w:color w:val="3A3A3A" w:themeColor="background2" w:themeShade="40"/>
              </w:rPr>
            </w:pPr>
            <w:r w:rsidRPr="006E4E36">
              <w:rPr>
                <w:color w:val="747474" w:themeColor="background2" w:themeShade="80"/>
              </w:rPr>
              <w:t>1</w:t>
            </w:r>
            <w:r w:rsidR="00745D31" w:rsidRPr="006E4E36">
              <w:rPr>
                <w:color w:val="747474" w:themeColor="background2" w:themeShade="80"/>
              </w:rPr>
              <w:t>3</w:t>
            </w:r>
            <w:r w:rsidRPr="006E4E36">
              <w:rPr>
                <w:color w:val="747474" w:themeColor="background2" w:themeShade="80"/>
              </w:rPr>
              <w:t>.2</w:t>
            </w:r>
          </w:p>
        </w:tc>
        <w:tc>
          <w:tcPr>
            <w:tcW w:w="2126" w:type="dxa"/>
          </w:tcPr>
          <w:p w14:paraId="38A2518F" w14:textId="1FD579B4" w:rsidR="009521E3" w:rsidRPr="006E4E36"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461FAFEB" w14:textId="77777777" w:rsidR="009521E3" w:rsidRPr="006E4E36"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ED8368A" w:rsidR="009521E3" w:rsidRPr="006E4E36" w:rsidRDefault="00507268" w:rsidP="0081091B">
            <w:pPr>
              <w:cnfStyle w:val="000000000000" w:firstRow="0" w:lastRow="0" w:firstColumn="0" w:lastColumn="0" w:oddVBand="0" w:evenVBand="0" w:oddHBand="0" w:evenHBand="0" w:firstRowFirstColumn="0" w:firstRowLastColumn="0" w:lastRowFirstColumn="0" w:lastRowLastColumn="0"/>
            </w:pPr>
            <w:r w:rsidRPr="003D30DB">
              <w:rPr>
                <w:i/>
                <w:iCs/>
              </w:rPr>
              <w:t>This section is under development</w:t>
            </w:r>
          </w:p>
        </w:tc>
      </w:tr>
    </w:tbl>
    <w:p w14:paraId="32B2A124" w14:textId="77777777" w:rsidR="00454DD4" w:rsidRPr="006E4E36" w:rsidRDefault="00454DD4" w:rsidP="00123C17">
      <w:pPr>
        <w:pStyle w:val="SectionHead"/>
        <w:rPr>
          <w:rFonts w:cs="Arial"/>
        </w:rPr>
      </w:pPr>
      <w:bookmarkStart w:id="16" w:name="_Toc172573296"/>
      <w:r w:rsidRPr="006E4E36">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6E4E36"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6E4E36" w:rsidRDefault="00745D31" w:rsidP="0081091B">
            <w:pPr>
              <w:pStyle w:val="Tableheadings"/>
              <w:spacing w:line="240" w:lineRule="auto"/>
              <w:rPr>
                <w:b/>
                <w:bCs/>
              </w:rPr>
            </w:pPr>
            <w:r w:rsidRPr="006E4E36">
              <w:rPr>
                <w:b/>
                <w:bCs/>
              </w:rPr>
              <w:t>Item</w:t>
            </w:r>
          </w:p>
        </w:tc>
        <w:tc>
          <w:tcPr>
            <w:tcW w:w="2126" w:type="dxa"/>
            <w:tcBorders>
              <w:bottom w:val="none" w:sz="0" w:space="0" w:color="auto"/>
            </w:tcBorders>
          </w:tcPr>
          <w:p w14:paraId="61A6CEC6" w14:textId="77777777" w:rsidR="00745D31" w:rsidRPr="006E4E3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7" w:type="dxa"/>
            <w:tcBorders>
              <w:bottom w:val="none" w:sz="0" w:space="0" w:color="auto"/>
            </w:tcBorders>
          </w:tcPr>
          <w:p w14:paraId="5757741F" w14:textId="77777777" w:rsidR="00745D31" w:rsidRPr="006E4E3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70" w:type="dxa"/>
            <w:tcBorders>
              <w:bottom w:val="none" w:sz="0" w:space="0" w:color="auto"/>
            </w:tcBorders>
          </w:tcPr>
          <w:p w14:paraId="510E9C35" w14:textId="77777777" w:rsidR="00745D31" w:rsidRPr="006E4E36"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745D31" w:rsidRPr="006E4E36"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6E4E36" w:rsidRDefault="00745D31" w:rsidP="0081091B">
            <w:pPr>
              <w:rPr>
                <w:b w:val="0"/>
                <w:bCs w:val="0"/>
                <w:color w:val="747474" w:themeColor="background2" w:themeShade="80"/>
              </w:rPr>
            </w:pPr>
            <w:r w:rsidRPr="006E4E36">
              <w:rPr>
                <w:color w:val="747474" w:themeColor="background2" w:themeShade="80"/>
              </w:rPr>
              <w:t>1</w:t>
            </w:r>
            <w:r w:rsidR="00EE5DED" w:rsidRPr="006E4E36">
              <w:rPr>
                <w:color w:val="747474" w:themeColor="background2" w:themeShade="80"/>
              </w:rPr>
              <w:t>4</w:t>
            </w:r>
            <w:r w:rsidRPr="006E4E36">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6E4E36"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Rules/governance arrangements across category</w:t>
            </w:r>
          </w:p>
        </w:tc>
        <w:tc>
          <w:tcPr>
            <w:tcW w:w="2127" w:type="dxa"/>
            <w:tcBorders>
              <w:top w:val="none" w:sz="0" w:space="0" w:color="auto"/>
              <w:bottom w:val="none" w:sz="0" w:space="0" w:color="auto"/>
            </w:tcBorders>
          </w:tcPr>
          <w:p w14:paraId="2F5986FA" w14:textId="77777777" w:rsidR="00745D31" w:rsidRPr="006E4E36"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6E4E36"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6E4E36"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6E4E36" w:rsidRDefault="00745D31" w:rsidP="0081091B">
            <w:pPr>
              <w:rPr>
                <w:color w:val="3A3A3A" w:themeColor="background2" w:themeShade="40"/>
              </w:rPr>
            </w:pPr>
            <w:r w:rsidRPr="006E4E36">
              <w:rPr>
                <w:color w:val="747474" w:themeColor="background2" w:themeShade="80"/>
              </w:rPr>
              <w:t>1</w:t>
            </w:r>
            <w:r w:rsidR="00EE5DED" w:rsidRPr="006E4E36">
              <w:rPr>
                <w:color w:val="747474" w:themeColor="background2" w:themeShade="80"/>
              </w:rPr>
              <w:t>4</w:t>
            </w:r>
            <w:r w:rsidRPr="006E4E36">
              <w:rPr>
                <w:color w:val="747474" w:themeColor="background2" w:themeShade="80"/>
              </w:rPr>
              <w:t>.2</w:t>
            </w:r>
          </w:p>
        </w:tc>
        <w:tc>
          <w:tcPr>
            <w:tcW w:w="2126" w:type="dxa"/>
          </w:tcPr>
          <w:p w14:paraId="5A84B260" w14:textId="7E49B99B" w:rsidR="00745D31" w:rsidRPr="006E4E36"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How is branded content described and ordered in governance?</w:t>
            </w:r>
          </w:p>
        </w:tc>
        <w:tc>
          <w:tcPr>
            <w:tcW w:w="2127" w:type="dxa"/>
          </w:tcPr>
          <w:p w14:paraId="2FBBECA2" w14:textId="77777777" w:rsidR="00745D31" w:rsidRPr="006E4E36"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6E4E36"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6E4E36" w:rsidRDefault="009553F2" w:rsidP="009553F2">
      <w:pPr>
        <w:pStyle w:val="SectionHead"/>
        <w:rPr>
          <w:rFonts w:cs="Arial"/>
          <w:iCs w:val="0"/>
        </w:rPr>
      </w:pPr>
      <w:bookmarkStart w:id="17" w:name="_Toc172573297"/>
      <w:r w:rsidRPr="006E4E36">
        <w:rPr>
          <w:rFonts w:cs="Arial"/>
          <w:iCs w:val="0"/>
        </w:rPr>
        <w:t>Convergence</w:t>
      </w:r>
      <w:r w:rsidRPr="006E4E36">
        <w:rPr>
          <w:rFonts w:cs="Arial"/>
          <w:iCs w:val="0"/>
        </w:rPr>
        <w:br/>
      </w:r>
      <w:r w:rsidRPr="006E4E36">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6E4E36"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6E4E36" w:rsidRDefault="0061668B" w:rsidP="0081091B">
            <w:pPr>
              <w:pStyle w:val="Tableheadings"/>
              <w:spacing w:line="240" w:lineRule="auto"/>
              <w:rPr>
                <w:b/>
                <w:bCs/>
              </w:rPr>
            </w:pPr>
            <w:r w:rsidRPr="006E4E36">
              <w:rPr>
                <w:b/>
                <w:bCs/>
              </w:rPr>
              <w:t>Item</w:t>
            </w:r>
          </w:p>
        </w:tc>
        <w:tc>
          <w:tcPr>
            <w:tcW w:w="2143" w:type="dxa"/>
            <w:tcBorders>
              <w:bottom w:val="none" w:sz="0" w:space="0" w:color="auto"/>
            </w:tcBorders>
          </w:tcPr>
          <w:p w14:paraId="689AD725" w14:textId="77777777" w:rsidR="0061668B" w:rsidRPr="006E4E3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5" w:type="dxa"/>
            <w:tcBorders>
              <w:bottom w:val="none" w:sz="0" w:space="0" w:color="auto"/>
            </w:tcBorders>
          </w:tcPr>
          <w:p w14:paraId="173C853A" w14:textId="77777777" w:rsidR="0061668B" w:rsidRPr="006E4E3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56" w:type="dxa"/>
            <w:tcBorders>
              <w:bottom w:val="none" w:sz="0" w:space="0" w:color="auto"/>
            </w:tcBorders>
          </w:tcPr>
          <w:p w14:paraId="07CFD34C" w14:textId="77777777" w:rsidR="0061668B" w:rsidRPr="006E4E36"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61668B" w:rsidRPr="006E4E36"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6E4E36" w:rsidRDefault="0061668B" w:rsidP="0081091B">
            <w:pPr>
              <w:rPr>
                <w:b w:val="0"/>
                <w:bCs w:val="0"/>
                <w:color w:val="747474" w:themeColor="background2" w:themeShade="80"/>
              </w:rPr>
            </w:pPr>
            <w:r w:rsidRPr="006E4E36">
              <w:rPr>
                <w:color w:val="747474" w:themeColor="background2" w:themeShade="80"/>
              </w:rPr>
              <w:t>1</w:t>
            </w:r>
            <w:r w:rsidR="006E0408" w:rsidRPr="006E4E36">
              <w:rPr>
                <w:color w:val="747474" w:themeColor="background2" w:themeShade="80"/>
              </w:rPr>
              <w:t>5</w:t>
            </w:r>
            <w:r w:rsidRPr="006E4E36">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6E4E36"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6E4E36"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6E4E36"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6E4E36"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6E4E36" w:rsidRDefault="0061668B" w:rsidP="0081091B">
            <w:pPr>
              <w:rPr>
                <w:color w:val="3A3A3A" w:themeColor="background2" w:themeShade="40"/>
              </w:rPr>
            </w:pPr>
            <w:r w:rsidRPr="006E4E36">
              <w:rPr>
                <w:color w:val="747474" w:themeColor="background2" w:themeShade="80"/>
              </w:rPr>
              <w:t>1</w:t>
            </w:r>
            <w:r w:rsidR="006E0408" w:rsidRPr="006E4E36">
              <w:rPr>
                <w:color w:val="747474" w:themeColor="background2" w:themeShade="80"/>
              </w:rPr>
              <w:t>5</w:t>
            </w:r>
            <w:r w:rsidRPr="006E4E36">
              <w:rPr>
                <w:color w:val="747474" w:themeColor="background2" w:themeShade="80"/>
              </w:rPr>
              <w:t>.2</w:t>
            </w:r>
          </w:p>
        </w:tc>
        <w:tc>
          <w:tcPr>
            <w:tcW w:w="2143" w:type="dxa"/>
          </w:tcPr>
          <w:p w14:paraId="60DCD93F" w14:textId="58A7EBB0" w:rsidR="0061668B" w:rsidRPr="006E4E36"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Does a single SRO oversee more than one of 6-16 above? Which?</w:t>
            </w:r>
          </w:p>
        </w:tc>
        <w:tc>
          <w:tcPr>
            <w:tcW w:w="2125" w:type="dxa"/>
          </w:tcPr>
          <w:p w14:paraId="138742B8" w14:textId="77777777" w:rsidR="0061668B" w:rsidRPr="006E4E36"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6E4E36"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6E4E36"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6E4E36" w:rsidRDefault="006E0408" w:rsidP="0081091B">
            <w:pPr>
              <w:rPr>
                <w:color w:val="747474" w:themeColor="background2" w:themeShade="80"/>
              </w:rPr>
            </w:pPr>
            <w:r w:rsidRPr="006E4E36">
              <w:rPr>
                <w:color w:val="747474" w:themeColor="background2" w:themeShade="80"/>
              </w:rPr>
              <w:lastRenderedPageBreak/>
              <w:t>15.3</w:t>
            </w:r>
          </w:p>
        </w:tc>
        <w:tc>
          <w:tcPr>
            <w:tcW w:w="2143" w:type="dxa"/>
          </w:tcPr>
          <w:p w14:paraId="33B1F8BF" w14:textId="5B1F6461" w:rsidR="006E0408" w:rsidRPr="006E4E36"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Is there cross-platform BC governance?</w:t>
            </w:r>
          </w:p>
        </w:tc>
        <w:tc>
          <w:tcPr>
            <w:tcW w:w="2125" w:type="dxa"/>
          </w:tcPr>
          <w:p w14:paraId="4DA076DA" w14:textId="77777777" w:rsidR="006E0408" w:rsidRPr="006E4E36"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6E4E36"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6E4E36"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6E4E36" w:rsidRDefault="006E0408" w:rsidP="0081091B">
            <w:pPr>
              <w:rPr>
                <w:color w:val="747474" w:themeColor="background2" w:themeShade="80"/>
              </w:rPr>
            </w:pPr>
            <w:r w:rsidRPr="006E4E36">
              <w:rPr>
                <w:color w:val="747474" w:themeColor="background2" w:themeShade="80"/>
              </w:rPr>
              <w:t>15.4</w:t>
            </w:r>
          </w:p>
        </w:tc>
        <w:tc>
          <w:tcPr>
            <w:tcW w:w="2143" w:type="dxa"/>
          </w:tcPr>
          <w:p w14:paraId="35221FD0" w14:textId="66FCBE5E" w:rsidR="006E0408" w:rsidRPr="006E4E36"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rPr>
                <w:highlight w:val="lightGray"/>
              </w:rPr>
              <w:t>Is there technology/platform neutral BC governance</w:t>
            </w:r>
            <w:r w:rsidRPr="006E4E36">
              <w:t>?</w:t>
            </w:r>
          </w:p>
        </w:tc>
        <w:tc>
          <w:tcPr>
            <w:tcW w:w="2125" w:type="dxa"/>
          </w:tcPr>
          <w:p w14:paraId="792B4208" w14:textId="77777777" w:rsidR="006E0408" w:rsidRPr="006E4E36"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6E4E36"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6E4E36"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6E4E36" w:rsidRDefault="006E0408" w:rsidP="0081091B">
            <w:pPr>
              <w:rPr>
                <w:color w:val="747474" w:themeColor="background2" w:themeShade="80"/>
              </w:rPr>
            </w:pPr>
            <w:r w:rsidRPr="006E4E36">
              <w:rPr>
                <w:color w:val="747474" w:themeColor="background2" w:themeShade="80"/>
              </w:rPr>
              <w:t>15.5</w:t>
            </w:r>
          </w:p>
        </w:tc>
        <w:tc>
          <w:tcPr>
            <w:tcW w:w="2143" w:type="dxa"/>
          </w:tcPr>
          <w:p w14:paraId="5ED130BF" w14:textId="5FD02092" w:rsidR="006E0408" w:rsidRPr="006E4E36"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6E4E36">
              <w:rPr>
                <w:highlight w:val="lightGray"/>
              </w:rPr>
              <w:t>Are there regulatory gaps and anomalies across 6-14? What?</w:t>
            </w:r>
          </w:p>
        </w:tc>
        <w:tc>
          <w:tcPr>
            <w:tcW w:w="2125" w:type="dxa"/>
          </w:tcPr>
          <w:p w14:paraId="1A47F178" w14:textId="77777777" w:rsidR="006E0408" w:rsidRPr="006E4E36"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6E4E36"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6E4E36"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6E4E36" w:rsidRDefault="006E0408" w:rsidP="0081091B">
            <w:pPr>
              <w:rPr>
                <w:color w:val="747474" w:themeColor="background2" w:themeShade="80"/>
              </w:rPr>
            </w:pPr>
            <w:r w:rsidRPr="006E4E36">
              <w:rPr>
                <w:color w:val="747474" w:themeColor="background2" w:themeShade="80"/>
              </w:rPr>
              <w:t>15.6</w:t>
            </w:r>
          </w:p>
        </w:tc>
        <w:tc>
          <w:tcPr>
            <w:tcW w:w="2143" w:type="dxa"/>
          </w:tcPr>
          <w:p w14:paraId="7AF0F232" w14:textId="08C1E7E8" w:rsidR="006E0408" w:rsidRPr="006E4E36"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rPr>
                <w:highlight w:val="lightGray"/>
              </w:rPr>
              <w:t>Metrics/ranking</w:t>
            </w:r>
          </w:p>
        </w:tc>
        <w:tc>
          <w:tcPr>
            <w:tcW w:w="2125" w:type="dxa"/>
          </w:tcPr>
          <w:p w14:paraId="088865F9" w14:textId="77777777" w:rsidR="006E0408" w:rsidRPr="006E4E36"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6E4E36"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6E4E36" w:rsidRDefault="00FB6479" w:rsidP="00FB6479">
      <w:pPr>
        <w:pStyle w:val="SectionHead"/>
        <w:rPr>
          <w:rFonts w:cs="Arial"/>
          <w:iCs w:val="0"/>
        </w:rPr>
      </w:pPr>
      <w:bookmarkStart w:id="18" w:name="_Toc172573298"/>
      <w:r w:rsidRPr="006E4E36">
        <w:rPr>
          <w:rFonts w:cs="Arial"/>
          <w:iCs w:val="0"/>
        </w:rPr>
        <w:t>Analysis and Evaluation</w:t>
      </w:r>
      <w:r w:rsidR="00D91F60" w:rsidRPr="006E4E36">
        <w:rPr>
          <w:rFonts w:cs="Arial"/>
          <w:iCs w:val="0"/>
        </w:rPr>
        <w:br/>
      </w:r>
      <w:r w:rsidR="00D91F60" w:rsidRPr="006E4E36">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6E4E36"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6E4E36" w:rsidRDefault="00D91F60" w:rsidP="0081091B">
            <w:pPr>
              <w:pStyle w:val="Tableheadings"/>
              <w:spacing w:line="240" w:lineRule="auto"/>
              <w:rPr>
                <w:b/>
                <w:bCs/>
              </w:rPr>
            </w:pPr>
            <w:r w:rsidRPr="006E4E36">
              <w:rPr>
                <w:b/>
                <w:bCs/>
              </w:rPr>
              <w:t>Item</w:t>
            </w:r>
          </w:p>
        </w:tc>
        <w:tc>
          <w:tcPr>
            <w:tcW w:w="2143" w:type="dxa"/>
            <w:tcBorders>
              <w:bottom w:val="none" w:sz="0" w:space="0" w:color="auto"/>
            </w:tcBorders>
          </w:tcPr>
          <w:p w14:paraId="5D23F815" w14:textId="77777777" w:rsidR="00D91F60" w:rsidRPr="006E4E3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6E4E36">
              <w:rPr>
                <w:b/>
                <w:bCs/>
              </w:rPr>
              <w:t>Subject</w:t>
            </w:r>
          </w:p>
        </w:tc>
        <w:tc>
          <w:tcPr>
            <w:tcW w:w="2125" w:type="dxa"/>
            <w:tcBorders>
              <w:bottom w:val="none" w:sz="0" w:space="0" w:color="auto"/>
            </w:tcBorders>
          </w:tcPr>
          <w:p w14:paraId="47F119CA" w14:textId="77777777" w:rsidR="00D91F60" w:rsidRPr="006E4E3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6E4E36">
              <w:rPr>
                <w:b/>
                <w:bCs/>
              </w:rPr>
              <w:t>Classification</w:t>
            </w:r>
            <w:r w:rsidRPr="006E4E36">
              <w:rPr>
                <w:b/>
                <w:bCs/>
                <w:color w:val="595959" w:themeColor="text1" w:themeTint="A6"/>
              </w:rPr>
              <w:t xml:space="preserve"> </w:t>
            </w:r>
          </w:p>
        </w:tc>
        <w:tc>
          <w:tcPr>
            <w:tcW w:w="5656" w:type="dxa"/>
            <w:tcBorders>
              <w:bottom w:val="none" w:sz="0" w:space="0" w:color="auto"/>
            </w:tcBorders>
          </w:tcPr>
          <w:p w14:paraId="07774443" w14:textId="77777777" w:rsidR="00D91F60" w:rsidRPr="006E4E36"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6E4E36">
              <w:rPr>
                <w:b/>
                <w:bCs/>
              </w:rPr>
              <w:t>Description</w:t>
            </w:r>
          </w:p>
        </w:tc>
      </w:tr>
      <w:tr w:rsidR="00D91F60" w:rsidRPr="006E4E36"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6E4E36" w:rsidRDefault="00D91F60" w:rsidP="0081091B">
            <w:pPr>
              <w:rPr>
                <w:b w:val="0"/>
                <w:bCs w:val="0"/>
                <w:color w:val="747474" w:themeColor="background2" w:themeShade="80"/>
              </w:rPr>
            </w:pPr>
            <w:r w:rsidRPr="006E4E36">
              <w:rPr>
                <w:color w:val="747474" w:themeColor="background2" w:themeShade="80"/>
              </w:rPr>
              <w:t>1</w:t>
            </w:r>
            <w:r w:rsidR="002E3655" w:rsidRPr="006E4E36">
              <w:rPr>
                <w:color w:val="747474" w:themeColor="background2" w:themeShade="80"/>
              </w:rPr>
              <w:t>6</w:t>
            </w:r>
            <w:r w:rsidRPr="006E4E36">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6E4E36"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Practices</w:t>
            </w:r>
          </w:p>
        </w:tc>
        <w:tc>
          <w:tcPr>
            <w:tcW w:w="2125" w:type="dxa"/>
            <w:tcBorders>
              <w:top w:val="none" w:sz="0" w:space="0" w:color="auto"/>
              <w:bottom w:val="none" w:sz="0" w:space="0" w:color="auto"/>
            </w:tcBorders>
          </w:tcPr>
          <w:p w14:paraId="34BCE959" w14:textId="77777777" w:rsidR="00D91F60" w:rsidRPr="006E4E3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6E4E36"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6E4E36"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6E4E36" w:rsidRDefault="00D91F60" w:rsidP="0081091B">
            <w:pPr>
              <w:rPr>
                <w:color w:val="3A3A3A" w:themeColor="background2" w:themeShade="40"/>
              </w:rPr>
            </w:pPr>
            <w:r w:rsidRPr="006E4E36">
              <w:rPr>
                <w:color w:val="747474" w:themeColor="background2" w:themeShade="80"/>
              </w:rPr>
              <w:t>1</w:t>
            </w:r>
            <w:r w:rsidR="002E3655" w:rsidRPr="006E4E36">
              <w:rPr>
                <w:color w:val="747474" w:themeColor="background2" w:themeShade="80"/>
              </w:rPr>
              <w:t>6</w:t>
            </w:r>
            <w:r w:rsidRPr="006E4E36">
              <w:rPr>
                <w:color w:val="747474" w:themeColor="background2" w:themeShade="80"/>
              </w:rPr>
              <w:t>.2</w:t>
            </w:r>
          </w:p>
        </w:tc>
        <w:tc>
          <w:tcPr>
            <w:tcW w:w="2143" w:type="dxa"/>
          </w:tcPr>
          <w:p w14:paraId="2DCD7BBF" w14:textId="2E681B19" w:rsidR="00D91F60" w:rsidRPr="006E4E36"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rPr>
                <w:rFonts w:eastAsia="Arial"/>
              </w:rPr>
              <w:t>Commercial influence over editorial content</w:t>
            </w:r>
          </w:p>
        </w:tc>
        <w:tc>
          <w:tcPr>
            <w:tcW w:w="2125" w:type="dxa"/>
          </w:tcPr>
          <w:p w14:paraId="3F11200F" w14:textId="77777777" w:rsidR="00D91F60" w:rsidRPr="006E4E36"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6E4E36"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6E4E36"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6E4E36" w:rsidRDefault="00D91F60" w:rsidP="0081091B">
            <w:pPr>
              <w:rPr>
                <w:color w:val="747474" w:themeColor="background2" w:themeShade="80"/>
              </w:rPr>
            </w:pPr>
            <w:r w:rsidRPr="006E4E36">
              <w:rPr>
                <w:color w:val="747474" w:themeColor="background2" w:themeShade="80"/>
              </w:rPr>
              <w:t>1</w:t>
            </w:r>
            <w:r w:rsidR="002E3655" w:rsidRPr="006E4E36">
              <w:rPr>
                <w:color w:val="747474" w:themeColor="background2" w:themeShade="80"/>
              </w:rPr>
              <w:t>6</w:t>
            </w:r>
            <w:r w:rsidRPr="006E4E36">
              <w:rPr>
                <w:color w:val="747474" w:themeColor="background2" w:themeShade="80"/>
              </w:rPr>
              <w:t>.3</w:t>
            </w:r>
          </w:p>
        </w:tc>
        <w:tc>
          <w:tcPr>
            <w:tcW w:w="2143" w:type="dxa"/>
          </w:tcPr>
          <w:p w14:paraId="4649C8D4" w14:textId="15FE9633" w:rsidR="00D91F60" w:rsidRPr="006E4E36"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Rule adherence</w:t>
            </w:r>
          </w:p>
        </w:tc>
        <w:tc>
          <w:tcPr>
            <w:tcW w:w="2125" w:type="dxa"/>
          </w:tcPr>
          <w:p w14:paraId="17AA4E0D" w14:textId="77777777" w:rsidR="00D91F60" w:rsidRPr="006E4E3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6E4E36"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6E4E36"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6E4E36" w:rsidRDefault="00D91F60" w:rsidP="0081091B">
            <w:pPr>
              <w:rPr>
                <w:color w:val="747474" w:themeColor="background2" w:themeShade="80"/>
              </w:rPr>
            </w:pPr>
            <w:r w:rsidRPr="006E4E36">
              <w:rPr>
                <w:color w:val="747474" w:themeColor="background2" w:themeShade="80"/>
              </w:rPr>
              <w:t>1</w:t>
            </w:r>
            <w:r w:rsidR="002E3655" w:rsidRPr="006E4E36">
              <w:rPr>
                <w:color w:val="747474" w:themeColor="background2" w:themeShade="80"/>
              </w:rPr>
              <w:t>6</w:t>
            </w:r>
            <w:r w:rsidRPr="006E4E36">
              <w:rPr>
                <w:color w:val="747474" w:themeColor="background2" w:themeShade="80"/>
              </w:rPr>
              <w:t>.4</w:t>
            </w:r>
          </w:p>
        </w:tc>
        <w:tc>
          <w:tcPr>
            <w:tcW w:w="2143" w:type="dxa"/>
          </w:tcPr>
          <w:p w14:paraId="420DE7C9" w14:textId="03C21FDD" w:rsidR="00D91F60" w:rsidRPr="006E4E36"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Legal-reg legitimacy (support)</w:t>
            </w:r>
          </w:p>
        </w:tc>
        <w:tc>
          <w:tcPr>
            <w:tcW w:w="2125" w:type="dxa"/>
          </w:tcPr>
          <w:p w14:paraId="2A81E2A9" w14:textId="77777777" w:rsidR="00D91F60" w:rsidRPr="006E4E36"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6E4E36"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6E4E36"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6E4E36" w:rsidRDefault="00D91F60" w:rsidP="0081091B">
            <w:pPr>
              <w:rPr>
                <w:color w:val="747474" w:themeColor="background2" w:themeShade="80"/>
              </w:rPr>
            </w:pPr>
            <w:r w:rsidRPr="006E4E36">
              <w:rPr>
                <w:color w:val="747474" w:themeColor="background2" w:themeShade="80"/>
              </w:rPr>
              <w:t>1</w:t>
            </w:r>
            <w:r w:rsidR="002E3655" w:rsidRPr="006E4E36">
              <w:rPr>
                <w:color w:val="747474" w:themeColor="background2" w:themeShade="80"/>
              </w:rPr>
              <w:t>6</w:t>
            </w:r>
            <w:r w:rsidRPr="006E4E36">
              <w:rPr>
                <w:color w:val="747474" w:themeColor="background2" w:themeShade="80"/>
              </w:rPr>
              <w:t>.5</w:t>
            </w:r>
          </w:p>
        </w:tc>
        <w:tc>
          <w:tcPr>
            <w:tcW w:w="2143" w:type="dxa"/>
          </w:tcPr>
          <w:p w14:paraId="367F6367" w14:textId="27A55224" w:rsidR="00D91F60" w:rsidRPr="006E4E36"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SRO legitimacy (support)</w:t>
            </w:r>
          </w:p>
        </w:tc>
        <w:tc>
          <w:tcPr>
            <w:tcW w:w="2125" w:type="dxa"/>
          </w:tcPr>
          <w:p w14:paraId="5015492C" w14:textId="77777777" w:rsidR="00D91F60" w:rsidRPr="006E4E36"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6E4E36"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6E4E36"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6E4E36" w:rsidRDefault="008E179F" w:rsidP="0081091B">
            <w:pPr>
              <w:rPr>
                <w:color w:val="747474" w:themeColor="background2" w:themeShade="80"/>
              </w:rPr>
            </w:pPr>
            <w:r w:rsidRPr="006E4E36">
              <w:rPr>
                <w:color w:val="747474" w:themeColor="background2" w:themeShade="80"/>
              </w:rPr>
              <w:t>16.6</w:t>
            </w:r>
          </w:p>
        </w:tc>
        <w:tc>
          <w:tcPr>
            <w:tcW w:w="2143" w:type="dxa"/>
          </w:tcPr>
          <w:p w14:paraId="7C8C6F7D" w14:textId="71289E50" w:rsidR="008E179F" w:rsidRPr="006E4E36"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Legal Enforcement</w:t>
            </w:r>
          </w:p>
        </w:tc>
        <w:tc>
          <w:tcPr>
            <w:tcW w:w="2125" w:type="dxa"/>
          </w:tcPr>
          <w:p w14:paraId="329E03F9" w14:textId="6AA870BC" w:rsidR="008E179F" w:rsidRPr="006E4E3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6E4E36"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6E4E36"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6E4E36" w:rsidRDefault="00F74EB0" w:rsidP="0081091B">
            <w:pPr>
              <w:rPr>
                <w:color w:val="747474" w:themeColor="background2" w:themeShade="80"/>
              </w:rPr>
            </w:pPr>
            <w:r w:rsidRPr="006E4E36">
              <w:rPr>
                <w:color w:val="747474" w:themeColor="background2" w:themeShade="80"/>
              </w:rPr>
              <w:t>16.7</w:t>
            </w:r>
          </w:p>
        </w:tc>
        <w:tc>
          <w:tcPr>
            <w:tcW w:w="2143" w:type="dxa"/>
          </w:tcPr>
          <w:p w14:paraId="3EE8E5C8" w14:textId="77BDBF1A" w:rsidR="008E179F" w:rsidRPr="006E4E36"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SRO enforcement</w:t>
            </w:r>
          </w:p>
        </w:tc>
        <w:tc>
          <w:tcPr>
            <w:tcW w:w="2125" w:type="dxa"/>
          </w:tcPr>
          <w:p w14:paraId="07C3F364" w14:textId="77777777" w:rsidR="008E179F" w:rsidRPr="006E4E36"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6E4E36"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6E4E36"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6E4E36" w:rsidRDefault="00F74EB0" w:rsidP="0081091B">
            <w:pPr>
              <w:rPr>
                <w:color w:val="747474" w:themeColor="background2" w:themeShade="80"/>
              </w:rPr>
            </w:pPr>
            <w:r w:rsidRPr="006E4E36">
              <w:rPr>
                <w:color w:val="747474" w:themeColor="background2" w:themeShade="80"/>
              </w:rPr>
              <w:t>16.8</w:t>
            </w:r>
          </w:p>
        </w:tc>
        <w:tc>
          <w:tcPr>
            <w:tcW w:w="2143" w:type="dxa"/>
          </w:tcPr>
          <w:p w14:paraId="5DBFF646" w14:textId="1419231E" w:rsidR="008E179F" w:rsidRPr="006E4E36"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Industry self-reg enforcement</w:t>
            </w:r>
          </w:p>
        </w:tc>
        <w:tc>
          <w:tcPr>
            <w:tcW w:w="2125" w:type="dxa"/>
          </w:tcPr>
          <w:p w14:paraId="2857D4D1" w14:textId="77777777" w:rsidR="008E179F" w:rsidRPr="006E4E3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6E4E36"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6E4E36"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6E4E36" w:rsidRDefault="00024AB0" w:rsidP="0081091B">
            <w:pPr>
              <w:rPr>
                <w:color w:val="747474" w:themeColor="background2" w:themeShade="80"/>
              </w:rPr>
            </w:pPr>
            <w:r w:rsidRPr="006E4E36">
              <w:rPr>
                <w:color w:val="747474" w:themeColor="background2" w:themeShade="80"/>
              </w:rPr>
              <w:lastRenderedPageBreak/>
              <w:t>16.9</w:t>
            </w:r>
          </w:p>
        </w:tc>
        <w:tc>
          <w:tcPr>
            <w:tcW w:w="2143" w:type="dxa"/>
          </w:tcPr>
          <w:p w14:paraId="6AA5FBB7" w14:textId="08425758" w:rsidR="00036FF9" w:rsidRPr="006E4E36"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6E4E36">
              <w:t>Effectiveness</w:t>
            </w:r>
          </w:p>
        </w:tc>
        <w:tc>
          <w:tcPr>
            <w:tcW w:w="2125" w:type="dxa"/>
          </w:tcPr>
          <w:p w14:paraId="7CB69D07" w14:textId="77777777" w:rsidR="00036FF9" w:rsidRPr="006E4E36"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6E4E36"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6E4E36"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6E4E36" w:rsidRDefault="00F74EB0" w:rsidP="0081091B">
            <w:pPr>
              <w:rPr>
                <w:color w:val="747474" w:themeColor="background2" w:themeShade="80"/>
              </w:rPr>
            </w:pPr>
            <w:r w:rsidRPr="006E4E36">
              <w:rPr>
                <w:color w:val="747474" w:themeColor="background2" w:themeShade="80"/>
              </w:rPr>
              <w:t>16.</w:t>
            </w:r>
            <w:r w:rsidR="00024AB0" w:rsidRPr="006E4E36">
              <w:rPr>
                <w:color w:val="747474" w:themeColor="background2" w:themeShade="80"/>
              </w:rPr>
              <w:t>10</w:t>
            </w:r>
          </w:p>
        </w:tc>
        <w:tc>
          <w:tcPr>
            <w:tcW w:w="2143" w:type="dxa"/>
          </w:tcPr>
          <w:p w14:paraId="094D0FE8" w14:textId="4907FB83" w:rsidR="008E179F" w:rsidRPr="006E4E36"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6E4E36">
              <w:t>Metrics/Ranking</w:t>
            </w:r>
          </w:p>
        </w:tc>
        <w:tc>
          <w:tcPr>
            <w:tcW w:w="2125" w:type="dxa"/>
          </w:tcPr>
          <w:p w14:paraId="6C67FCBD" w14:textId="77777777" w:rsidR="008E179F" w:rsidRPr="006E4E36"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6E4E36"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6E4E36" w:rsidRDefault="00147453" w:rsidP="008D27DF">
      <w:pPr>
        <w:pStyle w:val="Tableheadings"/>
      </w:pPr>
    </w:p>
    <w:p w14:paraId="67F8F111" w14:textId="424A9008" w:rsidR="008D27DF" w:rsidRPr="006E4E36" w:rsidRDefault="00147453" w:rsidP="00441981">
      <w:pPr>
        <w:rPr>
          <w:b/>
          <w:bCs/>
          <w:color w:val="747474" w:themeColor="background2" w:themeShade="80"/>
        </w:rPr>
      </w:pPr>
      <w:r w:rsidRPr="006E4E36">
        <w:br w:type="page"/>
      </w:r>
    </w:p>
    <w:p w14:paraId="335BA419" w14:textId="77777777" w:rsidR="00147453" w:rsidRPr="006E4E36" w:rsidRDefault="00147453" w:rsidP="00147453">
      <w:pPr>
        <w:pStyle w:val="SectionHead"/>
        <w:numPr>
          <w:ilvl w:val="0"/>
          <w:numId w:val="0"/>
        </w:numPr>
        <w:rPr>
          <w:rFonts w:cs="Arial"/>
        </w:rPr>
      </w:pPr>
      <w:bookmarkStart w:id="19" w:name="_Toc169692791"/>
      <w:bookmarkStart w:id="20" w:name="_Toc172573299"/>
      <w:r w:rsidRPr="006E4E36">
        <w:rPr>
          <w:rFonts w:cs="Arial"/>
        </w:rPr>
        <w:lastRenderedPageBreak/>
        <w:t>Authorship and Acknowledgements</w:t>
      </w:r>
      <w:bookmarkEnd w:id="19"/>
      <w:bookmarkEnd w:id="20"/>
    </w:p>
    <w:p w14:paraId="5DB316D1" w14:textId="77777777" w:rsidR="00147453" w:rsidRPr="006E4E36" w:rsidRDefault="00147453" w:rsidP="00147453">
      <w:pPr>
        <w:pStyle w:val="Tableheadings"/>
      </w:pPr>
    </w:p>
    <w:p w14:paraId="752366FB" w14:textId="7D860938" w:rsidR="00441981" w:rsidRPr="006E4E36" w:rsidRDefault="00441981" w:rsidP="00441981">
      <w:pPr>
        <w:spacing w:line="240" w:lineRule="auto"/>
      </w:pPr>
      <w:r w:rsidRPr="006E4E36">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6A32AEE8" w14:textId="77777777" w:rsidR="00441981" w:rsidRPr="006E4E36" w:rsidRDefault="00441981" w:rsidP="00441981">
      <w:pPr>
        <w:spacing w:line="240" w:lineRule="auto"/>
      </w:pPr>
      <w:r w:rsidRPr="006E4E36">
        <w:t xml:space="preserve">These reports could not have been produced without the contribution of academic advisers, and of lawyers and other advisers, who have provided expert guidance to assist our team. </w:t>
      </w:r>
    </w:p>
    <w:p w14:paraId="356CE0B6" w14:textId="6E69A077" w:rsidR="00441981" w:rsidRPr="006E4E36" w:rsidRDefault="00441981" w:rsidP="00441981">
      <w:pPr>
        <w:autoSpaceDE w:val="0"/>
        <w:autoSpaceDN w:val="0"/>
        <w:rPr>
          <w:lang w:val="en-US"/>
        </w:rPr>
      </w:pPr>
      <w:r w:rsidRPr="006E4E36">
        <w:t xml:space="preserve">For this report we wish to thank the following members of our network of academic and other advisers for the BCG Project: </w:t>
      </w:r>
      <w:r w:rsidR="00D53D95">
        <w:t xml:space="preserve">Professor </w:t>
      </w:r>
      <w:r w:rsidR="00D53D95" w:rsidRPr="00AD47EE">
        <w:t xml:space="preserve">Dwayne </w:t>
      </w:r>
      <w:proofErr w:type="spellStart"/>
      <w:r w:rsidR="00D53D95" w:rsidRPr="00AD47EE">
        <w:t>Winseck</w:t>
      </w:r>
      <w:proofErr w:type="spellEnd"/>
      <w:r w:rsidR="00D53D95">
        <w:t xml:space="preserve">, </w:t>
      </w:r>
      <w:r w:rsidR="00D53D95" w:rsidRPr="00D53D95">
        <w:t>Carleton University</w:t>
      </w:r>
      <w:r w:rsidR="00D53D95">
        <w:t>.</w:t>
      </w:r>
    </w:p>
    <w:p w14:paraId="2CF56535" w14:textId="77777777" w:rsidR="00441981" w:rsidRPr="006E4E36" w:rsidRDefault="00441981" w:rsidP="00441981">
      <w:pPr>
        <w:spacing w:line="240" w:lineRule="auto"/>
      </w:pPr>
      <w:r w:rsidRPr="006E4E36">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Pr="006E4E36" w:rsidRDefault="00441981" w:rsidP="00147453">
      <w:pPr>
        <w:rPr>
          <w:b/>
          <w:bCs/>
          <w:color w:val="747474" w:themeColor="background2" w:themeShade="80"/>
        </w:rPr>
      </w:pPr>
      <w:r w:rsidRPr="006E4E36">
        <w:rPr>
          <w:b/>
          <w:bCs/>
          <w:color w:val="747474" w:themeColor="background2" w:themeShade="80"/>
        </w:rPr>
        <w:br w:type="page"/>
      </w:r>
    </w:p>
    <w:p w14:paraId="3C9D086D" w14:textId="77777777" w:rsidR="00147453" w:rsidRPr="006E4E36" w:rsidRDefault="00147453" w:rsidP="00147453">
      <w:pPr>
        <w:pStyle w:val="SectionHead"/>
        <w:numPr>
          <w:ilvl w:val="0"/>
          <w:numId w:val="0"/>
        </w:numPr>
        <w:rPr>
          <w:rFonts w:cs="Arial"/>
        </w:rPr>
      </w:pPr>
      <w:bookmarkStart w:id="21" w:name="_Toc169692792"/>
      <w:bookmarkStart w:id="22" w:name="_Toc172573300"/>
      <w:r w:rsidRPr="006E4E36">
        <w:rPr>
          <w:rFonts w:cs="Arial"/>
        </w:rPr>
        <w:lastRenderedPageBreak/>
        <w:t>References</w:t>
      </w:r>
      <w:bookmarkEnd w:id="21"/>
      <w:bookmarkEnd w:id="22"/>
    </w:p>
    <w:p w14:paraId="2F865ACD" w14:textId="77777777" w:rsidR="00475121" w:rsidRPr="006E4E36" w:rsidRDefault="00475121" w:rsidP="00D53D95">
      <w:pPr>
        <w:spacing w:after="0" w:line="240" w:lineRule="auto"/>
        <w:textAlignment w:val="baseline"/>
        <w:rPr>
          <w:rFonts w:eastAsia="Times New Roman"/>
          <w:lang w:val="en-US" w:eastAsia="en-GB"/>
        </w:rPr>
      </w:pPr>
    </w:p>
    <w:p w14:paraId="2B6ACACE" w14:textId="77777777" w:rsidR="00D53D95" w:rsidRPr="00D53D95" w:rsidRDefault="00D53D95" w:rsidP="00D53D95">
      <w:pPr>
        <w:pStyle w:val="paragraph"/>
        <w:spacing w:before="0" w:beforeAutospacing="0" w:after="0" w:afterAutospacing="0"/>
        <w:ind w:left="270" w:hanging="270"/>
        <w:textAlignment w:val="baseline"/>
        <w:rPr>
          <w:rFonts w:ascii="Arial" w:hAnsi="Arial" w:cs="Arial"/>
          <w:sz w:val="22"/>
          <w:szCs w:val="22"/>
        </w:rPr>
      </w:pPr>
      <w:r w:rsidRPr="00D53D95">
        <w:rPr>
          <w:rStyle w:val="normaltextrun"/>
          <w:rFonts w:ascii="Arial" w:eastAsiaTheme="majorEastAsia" w:hAnsi="Arial" w:cs="Arial"/>
          <w:color w:val="000000"/>
          <w:sz w:val="22"/>
          <w:szCs w:val="22"/>
        </w:rPr>
        <w:t>Advertising Standards – Canada (ASC).</w:t>
      </w:r>
      <w:r w:rsidRPr="00D53D95">
        <w:rPr>
          <w:rStyle w:val="normaltextrun"/>
          <w:rFonts w:ascii="Arial" w:eastAsiaTheme="majorEastAsia" w:hAnsi="Arial" w:cs="Arial"/>
          <w:sz w:val="22"/>
          <w:szCs w:val="22"/>
        </w:rPr>
        <w:t xml:space="preserve"> (n.d.). </w:t>
      </w:r>
      <w:r w:rsidRPr="00D53D95">
        <w:rPr>
          <w:rStyle w:val="normaltextrun"/>
          <w:rFonts w:ascii="Arial" w:eastAsiaTheme="majorEastAsia" w:hAnsi="Arial" w:cs="Arial"/>
          <w:i/>
          <w:iCs/>
          <w:sz w:val="22"/>
          <w:szCs w:val="22"/>
        </w:rPr>
        <w:t>Consumer Complaint Procedure</w:t>
      </w:r>
      <w:r w:rsidRPr="00D53D95">
        <w:rPr>
          <w:rStyle w:val="normaltextrun"/>
          <w:rFonts w:ascii="Arial" w:eastAsiaTheme="majorEastAsia" w:hAnsi="Arial" w:cs="Arial"/>
          <w:sz w:val="22"/>
          <w:szCs w:val="22"/>
        </w:rPr>
        <w:t xml:space="preserve">. Toronto: ASC. Available: </w:t>
      </w:r>
      <w:hyperlink r:id="rId168" w:tgtFrame="_blank" w:history="1">
        <w:r w:rsidRPr="00D53D95">
          <w:rPr>
            <w:rStyle w:val="normaltextrun"/>
            <w:rFonts w:ascii="Arial" w:eastAsiaTheme="majorEastAsia" w:hAnsi="Arial" w:cs="Arial"/>
            <w:color w:val="0563C1"/>
            <w:sz w:val="22"/>
            <w:szCs w:val="22"/>
            <w:u w:val="single"/>
          </w:rPr>
          <w:t>https://adstandards.ca/complaints/</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rPr>
        <w:t> </w:t>
      </w:r>
    </w:p>
    <w:p w14:paraId="3AF30685" w14:textId="77777777" w:rsidR="00D53D95" w:rsidRPr="00D53D95" w:rsidRDefault="00D53D95" w:rsidP="00D53D95">
      <w:pPr>
        <w:pStyle w:val="paragraph"/>
        <w:spacing w:before="0" w:beforeAutospacing="0" w:after="0" w:afterAutospacing="0"/>
        <w:ind w:left="270" w:hanging="270"/>
        <w:textAlignment w:val="baseline"/>
        <w:rPr>
          <w:rFonts w:ascii="Arial" w:hAnsi="Arial" w:cs="Arial"/>
          <w:sz w:val="22"/>
          <w:szCs w:val="22"/>
        </w:rPr>
      </w:pPr>
      <w:r w:rsidRPr="00D53D95">
        <w:rPr>
          <w:rStyle w:val="normaltextrun"/>
          <w:rFonts w:ascii="Arial" w:eastAsiaTheme="majorEastAsia" w:hAnsi="Arial" w:cs="Arial"/>
          <w:color w:val="000000"/>
          <w:sz w:val="22"/>
          <w:szCs w:val="22"/>
        </w:rPr>
        <w:t>Advertising Standards – Canada (ASC).</w:t>
      </w:r>
      <w:r w:rsidRPr="00D53D95">
        <w:rPr>
          <w:rStyle w:val="normaltextrun"/>
          <w:rFonts w:ascii="Arial" w:eastAsiaTheme="majorEastAsia" w:hAnsi="Arial" w:cs="Arial"/>
          <w:sz w:val="22"/>
          <w:szCs w:val="22"/>
        </w:rPr>
        <w:t xml:space="preserve"> (2023). </w:t>
      </w:r>
      <w:r w:rsidRPr="00D53D95">
        <w:rPr>
          <w:rStyle w:val="normaltextrun"/>
          <w:rFonts w:ascii="Arial" w:eastAsiaTheme="majorEastAsia" w:hAnsi="Arial" w:cs="Arial"/>
          <w:i/>
          <w:iCs/>
          <w:sz w:val="22"/>
          <w:szCs w:val="22"/>
        </w:rPr>
        <w:t>Influencer Marketing Disclosure Guidelines</w:t>
      </w:r>
      <w:r w:rsidRPr="00D53D95">
        <w:rPr>
          <w:rStyle w:val="normaltextrun"/>
          <w:rFonts w:ascii="Arial" w:eastAsiaTheme="majorEastAsia" w:hAnsi="Arial" w:cs="Arial"/>
          <w:color w:val="000000"/>
          <w:sz w:val="22"/>
          <w:szCs w:val="22"/>
        </w:rPr>
        <w:t xml:space="preserve">. Toronto: ASC. Available: </w:t>
      </w:r>
      <w:hyperlink r:id="rId169" w:tgtFrame="_blank" w:history="1">
        <w:r w:rsidRPr="00D53D95">
          <w:rPr>
            <w:rStyle w:val="normaltextrun"/>
            <w:rFonts w:ascii="Arial" w:eastAsiaTheme="majorEastAsia" w:hAnsi="Arial" w:cs="Arial"/>
            <w:color w:val="0563C1"/>
            <w:sz w:val="22"/>
            <w:szCs w:val="22"/>
            <w:u w:val="single"/>
          </w:rPr>
          <w:t>AdStandards-Influencer-Guidelines-EN-2023-FIN.pdf</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rPr>
        <w:t> </w:t>
      </w:r>
    </w:p>
    <w:p w14:paraId="184DF350" w14:textId="77777777" w:rsidR="00D53D95" w:rsidRPr="00D53D95" w:rsidRDefault="00D53D95" w:rsidP="00D53D95">
      <w:pPr>
        <w:pStyle w:val="paragraph"/>
        <w:spacing w:before="0" w:beforeAutospacing="0" w:after="0" w:afterAutospacing="0"/>
        <w:ind w:left="270" w:hanging="270"/>
        <w:textAlignment w:val="baseline"/>
        <w:rPr>
          <w:rFonts w:ascii="Arial" w:hAnsi="Arial" w:cs="Arial"/>
          <w:sz w:val="22"/>
          <w:szCs w:val="22"/>
        </w:rPr>
      </w:pPr>
      <w:r w:rsidRPr="00D53D95">
        <w:rPr>
          <w:rStyle w:val="normaltextrun"/>
          <w:rFonts w:ascii="Arial" w:eastAsiaTheme="majorEastAsia" w:hAnsi="Arial" w:cs="Arial"/>
          <w:color w:val="000000"/>
          <w:sz w:val="22"/>
          <w:szCs w:val="22"/>
        </w:rPr>
        <w:t>Advertising Standards – Canada (ASC). (2019a).</w:t>
      </w:r>
      <w:r w:rsidRPr="00D53D95">
        <w:rPr>
          <w:rStyle w:val="normaltextrun"/>
          <w:rFonts w:ascii="Arial" w:eastAsiaTheme="majorEastAsia" w:hAnsi="Arial" w:cs="Arial"/>
          <w:sz w:val="22"/>
          <w:szCs w:val="22"/>
        </w:rPr>
        <w:t xml:space="preserve"> </w:t>
      </w:r>
      <w:r w:rsidRPr="00D53D95">
        <w:rPr>
          <w:rStyle w:val="normaltextrun"/>
          <w:rFonts w:ascii="Arial" w:eastAsiaTheme="majorEastAsia" w:hAnsi="Arial" w:cs="Arial"/>
          <w:i/>
          <w:iCs/>
          <w:sz w:val="22"/>
          <w:szCs w:val="22"/>
        </w:rPr>
        <w:t>Standards Council Organization and Procedure.</w:t>
      </w:r>
      <w:r w:rsidRPr="00D53D95">
        <w:rPr>
          <w:rStyle w:val="normaltextrun"/>
          <w:rFonts w:ascii="Arial" w:eastAsiaTheme="majorEastAsia" w:hAnsi="Arial" w:cs="Arial"/>
          <w:color w:val="000000"/>
          <w:sz w:val="22"/>
          <w:szCs w:val="22"/>
        </w:rPr>
        <w:t xml:space="preserve"> Toronto: ASC. Available:</w:t>
      </w:r>
      <w:r w:rsidRPr="00D53D95">
        <w:rPr>
          <w:rStyle w:val="normaltextrun"/>
          <w:rFonts w:ascii="Arial" w:eastAsiaTheme="majorEastAsia" w:hAnsi="Arial" w:cs="Arial"/>
          <w:sz w:val="22"/>
          <w:szCs w:val="22"/>
        </w:rPr>
        <w:t xml:space="preserve"> </w:t>
      </w:r>
      <w:hyperlink r:id="rId170" w:tgtFrame="_blank" w:history="1">
        <w:r w:rsidRPr="00D53D95">
          <w:rPr>
            <w:rStyle w:val="normaltextrun"/>
            <w:rFonts w:ascii="Arial" w:eastAsiaTheme="majorEastAsia" w:hAnsi="Arial" w:cs="Arial"/>
            <w:color w:val="0563C1"/>
            <w:sz w:val="22"/>
            <w:szCs w:val="22"/>
            <w:u w:val="single"/>
          </w:rPr>
          <w:t>https://adstandards.ca/wp-content/uploads/2019/10/Standards-Council-Organization-and-Procedure-2019.pdf</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rPr>
        <w:t> </w:t>
      </w:r>
    </w:p>
    <w:p w14:paraId="017BF31F"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 xml:space="preserve">Advertising Standards – Canada (ASC). (2019b). </w:t>
      </w:r>
      <w:r w:rsidRPr="00D53D95">
        <w:rPr>
          <w:rStyle w:val="normaltextrun"/>
          <w:rFonts w:ascii="Arial" w:eastAsiaTheme="majorEastAsia" w:hAnsi="Arial" w:cs="Arial"/>
          <w:i/>
          <w:iCs/>
          <w:color w:val="000000"/>
          <w:sz w:val="22"/>
          <w:szCs w:val="22"/>
        </w:rPr>
        <w:t>The Canadian Code of Advertising Standards</w:t>
      </w:r>
      <w:r w:rsidRPr="00D53D95">
        <w:rPr>
          <w:rStyle w:val="normaltextrun"/>
          <w:rFonts w:ascii="Arial" w:eastAsiaTheme="majorEastAsia" w:hAnsi="Arial" w:cs="Arial"/>
          <w:color w:val="000000"/>
          <w:sz w:val="22"/>
          <w:szCs w:val="22"/>
        </w:rPr>
        <w:t xml:space="preserve">. Toronto: ASC. Available: </w:t>
      </w:r>
      <w:hyperlink r:id="rId171" w:tgtFrame="_blank" w:history="1">
        <w:r w:rsidRPr="00D53D95">
          <w:rPr>
            <w:rStyle w:val="normaltextrun"/>
            <w:rFonts w:ascii="Arial" w:eastAsiaTheme="majorEastAsia" w:hAnsi="Arial" w:cs="Arial"/>
            <w:color w:val="0563C1"/>
            <w:sz w:val="22"/>
            <w:szCs w:val="22"/>
            <w:u w:val="single"/>
          </w:rPr>
          <w:t>The Code Online – Ad Standards</w:t>
        </w:r>
      </w:hyperlink>
      <w:r w:rsidRPr="00D53D95">
        <w:rPr>
          <w:rStyle w:val="normaltextrun"/>
          <w:rFonts w:ascii="Arial" w:eastAsiaTheme="majorEastAsia" w:hAnsi="Arial" w:cs="Arial"/>
          <w:sz w:val="22"/>
          <w:szCs w:val="22"/>
        </w:rPr>
        <w:t xml:space="preserve"> (accessed: 9 May 2023). </w:t>
      </w:r>
      <w:r w:rsidRPr="00D53D95">
        <w:rPr>
          <w:rStyle w:val="eop"/>
          <w:rFonts w:ascii="Arial" w:eastAsiaTheme="majorEastAsia" w:hAnsi="Arial" w:cs="Arial"/>
          <w:sz w:val="22"/>
          <w:szCs w:val="22"/>
        </w:rPr>
        <w:t> </w:t>
      </w:r>
    </w:p>
    <w:p w14:paraId="0B2AA270"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Canadian Broadcasting Corporation (CBC). (2022). </w:t>
      </w:r>
      <w:r w:rsidRPr="00D53D95">
        <w:rPr>
          <w:rStyle w:val="normaltextrun"/>
          <w:rFonts w:ascii="Arial" w:eastAsiaTheme="majorEastAsia" w:hAnsi="Arial" w:cs="Arial"/>
          <w:i/>
          <w:iCs/>
          <w:sz w:val="22"/>
          <w:szCs w:val="22"/>
        </w:rPr>
        <w:t>Annual Report 2021-2022</w:t>
      </w:r>
      <w:r w:rsidRPr="00D53D95">
        <w:rPr>
          <w:rStyle w:val="normaltextrun"/>
          <w:rFonts w:ascii="Arial" w:eastAsiaTheme="majorEastAsia" w:hAnsi="Arial" w:cs="Arial"/>
          <w:sz w:val="22"/>
          <w:szCs w:val="22"/>
        </w:rPr>
        <w:t xml:space="preserve">. Ottawa: CBC. Available: </w:t>
      </w:r>
      <w:hyperlink r:id="rId172" w:tgtFrame="_blank" w:history="1">
        <w:r w:rsidRPr="00D53D95">
          <w:rPr>
            <w:rStyle w:val="normaltextrun"/>
            <w:rFonts w:ascii="Arial" w:eastAsiaTheme="majorEastAsia" w:hAnsi="Arial" w:cs="Arial"/>
            <w:color w:val="0563C1"/>
            <w:sz w:val="22"/>
            <w:szCs w:val="22"/>
            <w:u w:val="single"/>
          </w:rPr>
          <w:t>https://site-cbc.radio-canada.ca/documents/impact-and-accountability/finances/2021-2022-ar.pdf</w:t>
        </w:r>
      </w:hyperlink>
      <w:r w:rsidRPr="00D53D95">
        <w:rPr>
          <w:rStyle w:val="normaltextrun"/>
          <w:rFonts w:ascii="Arial" w:eastAsiaTheme="majorEastAsia" w:hAnsi="Arial" w:cs="Arial"/>
          <w:sz w:val="22"/>
          <w:szCs w:val="22"/>
        </w:rPr>
        <w:t xml:space="preserve"> (accessed: 20 July 2024).</w:t>
      </w:r>
      <w:r w:rsidRPr="00D53D95">
        <w:rPr>
          <w:rStyle w:val="eop"/>
          <w:rFonts w:ascii="Arial" w:eastAsiaTheme="majorEastAsia" w:hAnsi="Arial" w:cs="Arial"/>
          <w:sz w:val="22"/>
          <w:szCs w:val="22"/>
        </w:rPr>
        <w:t> </w:t>
      </w:r>
    </w:p>
    <w:p w14:paraId="7DA662AD"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Canadian Radio-television and Telecommunications Commission (CRTC). (2024). </w:t>
      </w:r>
      <w:r w:rsidRPr="00D53D95">
        <w:rPr>
          <w:rStyle w:val="normaltextrun"/>
          <w:rFonts w:ascii="Arial" w:eastAsiaTheme="majorEastAsia" w:hAnsi="Arial" w:cs="Arial"/>
          <w:i/>
          <w:iCs/>
          <w:sz w:val="22"/>
          <w:szCs w:val="22"/>
        </w:rPr>
        <w:t>TV and Radio Advertising Basics</w:t>
      </w:r>
      <w:r w:rsidRPr="00D53D95">
        <w:rPr>
          <w:rStyle w:val="normaltextrun"/>
          <w:rFonts w:ascii="Arial" w:eastAsiaTheme="majorEastAsia" w:hAnsi="Arial" w:cs="Arial"/>
          <w:sz w:val="22"/>
          <w:szCs w:val="22"/>
        </w:rPr>
        <w:t xml:space="preserve">. Ottawa: CRTC. Available: </w:t>
      </w:r>
      <w:hyperlink r:id="rId173" w:tgtFrame="_blank" w:history="1">
        <w:r w:rsidRPr="00D53D95">
          <w:rPr>
            <w:rStyle w:val="normaltextrun"/>
            <w:rFonts w:ascii="Arial" w:eastAsiaTheme="majorEastAsia" w:hAnsi="Arial" w:cs="Arial"/>
            <w:color w:val="0563C1"/>
            <w:sz w:val="22"/>
            <w:szCs w:val="22"/>
            <w:u w:val="single"/>
          </w:rPr>
          <w:t>https://crtc.gc.ca/eng/television/publicit/publicit.htm</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732470D5"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CBC/Radio-Canada. (2006). </w:t>
      </w:r>
      <w:r w:rsidRPr="00D53D95">
        <w:rPr>
          <w:rStyle w:val="normaltextrun"/>
          <w:rFonts w:ascii="Arial" w:eastAsiaTheme="majorEastAsia" w:hAnsi="Arial" w:cs="Arial"/>
          <w:i/>
          <w:iCs/>
          <w:sz w:val="22"/>
          <w:szCs w:val="22"/>
        </w:rPr>
        <w:t>Advertising Standards</w:t>
      </w:r>
      <w:r w:rsidRPr="00D53D95">
        <w:rPr>
          <w:rStyle w:val="normaltextrun"/>
          <w:rFonts w:ascii="Arial" w:eastAsiaTheme="majorEastAsia" w:hAnsi="Arial" w:cs="Arial"/>
          <w:sz w:val="22"/>
          <w:szCs w:val="22"/>
        </w:rPr>
        <w:t xml:space="preserve">. Toronto: CBC/Radio-Canada. Available: </w:t>
      </w:r>
      <w:hyperlink r:id="rId174" w:tgtFrame="_blank" w:history="1">
        <w:r w:rsidRPr="00D53D95">
          <w:rPr>
            <w:rStyle w:val="normaltextrun"/>
            <w:rFonts w:ascii="Arial" w:eastAsiaTheme="majorEastAsia" w:hAnsi="Arial" w:cs="Arial"/>
            <w:color w:val="0563C1"/>
            <w:sz w:val="22"/>
            <w:szCs w:val="22"/>
            <w:u w:val="single"/>
          </w:rPr>
          <w:t>https://cbc.radio-canada.ca/en/vision/governance/programming-policies/advertising</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580985DA"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CBC/Radio-Canada. (2020). Branded Content Update. Toronto: CBC/Radio-Canada. Available: </w:t>
      </w:r>
      <w:hyperlink r:id="rId175" w:tgtFrame="_blank" w:history="1">
        <w:r w:rsidRPr="00D53D95">
          <w:rPr>
            <w:rStyle w:val="normaltextrun"/>
            <w:rFonts w:ascii="Arial" w:eastAsiaTheme="majorEastAsia" w:hAnsi="Arial" w:cs="Arial"/>
            <w:color w:val="0563C1"/>
            <w:sz w:val="22"/>
            <w:szCs w:val="22"/>
            <w:u w:val="single"/>
          </w:rPr>
          <w:t>a-2020-00123.pdf (radio-canada.ca)</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0060DA62"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Competition Bureau Canada. (2018). </w:t>
      </w:r>
      <w:r w:rsidRPr="00D53D95">
        <w:rPr>
          <w:rStyle w:val="normaltextrun"/>
          <w:rFonts w:ascii="Arial" w:eastAsiaTheme="majorEastAsia" w:hAnsi="Arial" w:cs="Arial"/>
          <w:i/>
          <w:iCs/>
          <w:sz w:val="22"/>
          <w:szCs w:val="22"/>
        </w:rPr>
        <w:t>The Deceptive Marketing Practices Digest — Volume 4</w:t>
      </w:r>
      <w:r w:rsidRPr="00D53D95">
        <w:rPr>
          <w:rStyle w:val="normaltextrun"/>
          <w:rFonts w:ascii="Arial" w:eastAsiaTheme="majorEastAsia" w:hAnsi="Arial" w:cs="Arial"/>
          <w:sz w:val="22"/>
          <w:szCs w:val="22"/>
        </w:rPr>
        <w:t xml:space="preserve">. Gatineau: Competition Bureau Canada. Available: </w:t>
      </w:r>
      <w:hyperlink r:id="rId176" w:anchor="sec01" w:tgtFrame="_blank" w:history="1">
        <w:r w:rsidRPr="00D53D95">
          <w:rPr>
            <w:rStyle w:val="normaltextrun"/>
            <w:rFonts w:ascii="Arial" w:eastAsiaTheme="majorEastAsia" w:hAnsi="Arial" w:cs="Arial"/>
            <w:color w:val="0563C1"/>
            <w:sz w:val="22"/>
            <w:szCs w:val="22"/>
            <w:u w:val="single"/>
          </w:rPr>
          <w:t>The Deceptive Marketing Practices Digest — Volume 4 (canada.ca)</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1EA6A171"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Competition Bureau Canada. (2022a). </w:t>
      </w:r>
      <w:r w:rsidRPr="00D53D95">
        <w:rPr>
          <w:rStyle w:val="normaltextrun"/>
          <w:rFonts w:ascii="Arial" w:eastAsiaTheme="majorEastAsia" w:hAnsi="Arial" w:cs="Arial"/>
          <w:i/>
          <w:iCs/>
          <w:sz w:val="22"/>
          <w:szCs w:val="22"/>
        </w:rPr>
        <w:t>Influencer Marketing and the Competition Act</w:t>
      </w:r>
      <w:r w:rsidRPr="00D53D95">
        <w:rPr>
          <w:rStyle w:val="normaltextrun"/>
          <w:rFonts w:ascii="Arial" w:eastAsiaTheme="majorEastAsia" w:hAnsi="Arial" w:cs="Arial"/>
          <w:sz w:val="22"/>
          <w:szCs w:val="22"/>
        </w:rPr>
        <w:t xml:space="preserve">. Gatineau: Competition Bureau Canada. Available: </w:t>
      </w:r>
      <w:hyperlink r:id="rId177" w:tgtFrame="_blank" w:history="1">
        <w:r w:rsidRPr="00D53D95">
          <w:rPr>
            <w:rStyle w:val="normaltextrun"/>
            <w:rFonts w:ascii="Arial" w:eastAsiaTheme="majorEastAsia" w:hAnsi="Arial" w:cs="Arial"/>
            <w:color w:val="0563C1"/>
            <w:sz w:val="22"/>
            <w:szCs w:val="22"/>
            <w:u w:val="single"/>
          </w:rPr>
          <w:t>Influencer marketing and the Competition Act (canada.ca)</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798C3C99"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lang w:val="en-US"/>
        </w:rPr>
      </w:pPr>
      <w:r w:rsidRPr="00D53D95">
        <w:rPr>
          <w:rStyle w:val="normaltextrun"/>
          <w:rFonts w:ascii="Arial" w:eastAsiaTheme="majorEastAsia" w:hAnsi="Arial" w:cs="Arial"/>
          <w:sz w:val="22"/>
          <w:szCs w:val="22"/>
        </w:rPr>
        <w:t xml:space="preserve">Competition Bureau Canada. (2022b). </w:t>
      </w:r>
      <w:r w:rsidRPr="00D53D95">
        <w:rPr>
          <w:rStyle w:val="normaltextrun"/>
          <w:rFonts w:ascii="Arial" w:eastAsiaTheme="majorEastAsia" w:hAnsi="Arial" w:cs="Arial"/>
          <w:i/>
          <w:iCs/>
          <w:sz w:val="22"/>
          <w:szCs w:val="22"/>
        </w:rPr>
        <w:t>Use of Tests or Testimonials</w:t>
      </w:r>
      <w:r w:rsidRPr="00D53D95">
        <w:rPr>
          <w:rStyle w:val="normaltextrun"/>
          <w:rFonts w:ascii="Arial" w:eastAsiaTheme="majorEastAsia" w:hAnsi="Arial" w:cs="Arial"/>
          <w:sz w:val="22"/>
          <w:szCs w:val="22"/>
        </w:rPr>
        <w:t xml:space="preserve">. Gatineau: Competition Bureau Canada. Available: </w:t>
      </w:r>
      <w:hyperlink r:id="rId178" w:tgtFrame="_blank" w:history="1">
        <w:r w:rsidRPr="00D53D95">
          <w:rPr>
            <w:rStyle w:val="normaltextrun"/>
            <w:rFonts w:ascii="Arial" w:eastAsiaTheme="majorEastAsia" w:hAnsi="Arial" w:cs="Arial"/>
            <w:color w:val="0563C1"/>
            <w:sz w:val="22"/>
            <w:szCs w:val="22"/>
            <w:u w:val="single"/>
          </w:rPr>
          <w:t>https://competition-bureau.canada.ca/deceptive-marketing-practices/types-deceptive-marketing-practices/use-tests-or-testimonials</w:t>
        </w:r>
      </w:hyperlink>
      <w:r w:rsidRPr="00D53D95">
        <w:rPr>
          <w:rStyle w:val="normaltextrun"/>
          <w:rFonts w:ascii="Arial" w:eastAsiaTheme="majorEastAsia" w:hAnsi="Arial" w:cs="Arial"/>
          <w:sz w:val="22"/>
          <w:szCs w:val="22"/>
        </w:rPr>
        <w:t xml:space="preserve"> (accessed: 22 July 2024).</w:t>
      </w:r>
      <w:r w:rsidRPr="00D53D95">
        <w:rPr>
          <w:rStyle w:val="eop"/>
          <w:rFonts w:ascii="Arial" w:eastAsiaTheme="majorEastAsia" w:hAnsi="Arial" w:cs="Arial"/>
          <w:sz w:val="22"/>
          <w:szCs w:val="22"/>
          <w:lang w:val="en-US"/>
        </w:rPr>
        <w:t> </w:t>
      </w:r>
    </w:p>
    <w:p w14:paraId="13FDABED"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 xml:space="preserve">CIA (Central Intelligence Agency). (2022). </w:t>
      </w:r>
      <w:r w:rsidRPr="00D53D95">
        <w:rPr>
          <w:rStyle w:val="normaltextrun"/>
          <w:rFonts w:ascii="Arial" w:eastAsiaTheme="majorEastAsia" w:hAnsi="Arial" w:cs="Arial"/>
          <w:i/>
          <w:iCs/>
          <w:sz w:val="22"/>
          <w:szCs w:val="22"/>
        </w:rPr>
        <w:t>The World Factbook</w:t>
      </w:r>
      <w:r w:rsidRPr="00D53D95">
        <w:rPr>
          <w:rStyle w:val="normaltextrun"/>
          <w:rFonts w:ascii="Arial" w:eastAsiaTheme="majorEastAsia" w:hAnsi="Arial" w:cs="Arial"/>
          <w:sz w:val="22"/>
          <w:szCs w:val="22"/>
        </w:rPr>
        <w:t xml:space="preserve">. Virginia: CIA. Available: </w:t>
      </w:r>
      <w:hyperlink r:id="rId179" w:tgtFrame="_blank" w:history="1">
        <w:r w:rsidRPr="00D53D95">
          <w:rPr>
            <w:rStyle w:val="normaltextrun"/>
            <w:rFonts w:ascii="Arial" w:eastAsiaTheme="majorEastAsia" w:hAnsi="Arial" w:cs="Arial"/>
            <w:color w:val="0563C1"/>
            <w:sz w:val="22"/>
            <w:szCs w:val="22"/>
            <w:u w:val="single"/>
          </w:rPr>
          <w:t>https://www.cia.gov/the-world-factbook/</w:t>
        </w:r>
      </w:hyperlink>
      <w:r w:rsidRPr="00D53D95">
        <w:rPr>
          <w:rStyle w:val="normaltextrun"/>
          <w:rFonts w:ascii="Arial" w:eastAsiaTheme="majorEastAsia" w:hAnsi="Arial" w:cs="Arial"/>
          <w:color w:val="000000"/>
          <w:sz w:val="22"/>
          <w:szCs w:val="22"/>
        </w:rPr>
        <w:t xml:space="preserve"> (accessed: 12 December 2022).</w:t>
      </w:r>
      <w:r w:rsidRPr="00D53D95">
        <w:rPr>
          <w:rStyle w:val="eop"/>
          <w:rFonts w:ascii="Arial" w:eastAsiaTheme="majorEastAsia" w:hAnsi="Arial" w:cs="Arial"/>
          <w:color w:val="000000"/>
          <w:sz w:val="22"/>
          <w:szCs w:val="22"/>
        </w:rPr>
        <w:t> </w:t>
      </w:r>
    </w:p>
    <w:p w14:paraId="05B95DC5"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proofErr w:type="spellStart"/>
      <w:r w:rsidRPr="00D53D95">
        <w:rPr>
          <w:rStyle w:val="normaltextrun"/>
          <w:rFonts w:ascii="Arial" w:eastAsiaTheme="majorEastAsia" w:hAnsi="Arial" w:cs="Arial"/>
          <w:color w:val="000000"/>
          <w:sz w:val="22"/>
          <w:szCs w:val="22"/>
        </w:rPr>
        <w:t>Dencheva</w:t>
      </w:r>
      <w:proofErr w:type="spellEnd"/>
      <w:r w:rsidRPr="00D53D95">
        <w:rPr>
          <w:rStyle w:val="normaltextrun"/>
          <w:rFonts w:ascii="Arial" w:eastAsiaTheme="majorEastAsia" w:hAnsi="Arial" w:cs="Arial"/>
          <w:color w:val="000000"/>
          <w:sz w:val="22"/>
          <w:szCs w:val="22"/>
        </w:rPr>
        <w:t xml:space="preserve">, V. (2024). </w:t>
      </w:r>
      <w:r w:rsidRPr="00D53D95">
        <w:rPr>
          <w:rStyle w:val="normaltextrun"/>
          <w:rFonts w:ascii="Arial" w:eastAsiaTheme="majorEastAsia" w:hAnsi="Arial" w:cs="Arial"/>
          <w:i/>
          <w:iCs/>
          <w:color w:val="000000"/>
          <w:sz w:val="22"/>
          <w:szCs w:val="22"/>
        </w:rPr>
        <w:t>Advertising in Canada – Statistics &amp; Facts. Statista</w:t>
      </w:r>
      <w:r w:rsidRPr="00D53D95">
        <w:rPr>
          <w:rStyle w:val="normaltextrun"/>
          <w:rFonts w:ascii="Arial" w:eastAsiaTheme="majorEastAsia" w:hAnsi="Arial" w:cs="Arial"/>
          <w:color w:val="000000"/>
          <w:sz w:val="22"/>
          <w:szCs w:val="22"/>
        </w:rPr>
        <w:t>. Available https://www.statista.com/topics/1837/advertising-in-canada/#topicOverview (accessed: 5 March 2024).</w:t>
      </w:r>
      <w:r w:rsidRPr="00D53D95">
        <w:rPr>
          <w:rStyle w:val="eop"/>
          <w:rFonts w:ascii="Arial" w:eastAsiaTheme="majorEastAsia" w:hAnsi="Arial" w:cs="Arial"/>
          <w:color w:val="000000"/>
          <w:sz w:val="22"/>
          <w:szCs w:val="22"/>
        </w:rPr>
        <w:t> </w:t>
      </w:r>
    </w:p>
    <w:p w14:paraId="334F0AA9"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Global Advertising Lawyers Alliance</w:t>
      </w:r>
      <w:r w:rsidRPr="00D53D95">
        <w:rPr>
          <w:rStyle w:val="normaltextrun"/>
          <w:rFonts w:ascii="Arial" w:eastAsiaTheme="majorEastAsia" w:hAnsi="Arial" w:cs="Arial"/>
          <w:sz w:val="22"/>
          <w:szCs w:val="22"/>
        </w:rPr>
        <w:t>. (2024).</w:t>
      </w:r>
      <w:r w:rsidRPr="00D53D95">
        <w:rPr>
          <w:rStyle w:val="normaltextrun"/>
          <w:rFonts w:ascii="Arial" w:eastAsiaTheme="majorEastAsia" w:hAnsi="Arial" w:cs="Arial"/>
          <w:i/>
          <w:iCs/>
          <w:sz w:val="22"/>
          <w:szCs w:val="22"/>
        </w:rPr>
        <w:t xml:space="preserve"> Advertising Law: A Global Legal Perspective</w:t>
      </w:r>
      <w:r w:rsidRPr="00D53D95">
        <w:rPr>
          <w:rStyle w:val="normaltextrun"/>
          <w:rFonts w:ascii="Arial" w:eastAsiaTheme="majorEastAsia" w:hAnsi="Arial" w:cs="Arial"/>
          <w:sz w:val="22"/>
          <w:szCs w:val="22"/>
        </w:rPr>
        <w:t>. New York: GALA.</w:t>
      </w:r>
      <w:r w:rsidRPr="00D53D95">
        <w:rPr>
          <w:rStyle w:val="eop"/>
          <w:rFonts w:ascii="Arial" w:eastAsiaTheme="majorEastAsia" w:hAnsi="Arial" w:cs="Arial"/>
          <w:sz w:val="22"/>
          <w:szCs w:val="22"/>
        </w:rPr>
        <w:t> </w:t>
      </w:r>
    </w:p>
    <w:p w14:paraId="7A58C2CB"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Global Advertising Lawyers Alliance</w:t>
      </w:r>
      <w:r w:rsidRPr="00D53D95">
        <w:rPr>
          <w:rStyle w:val="normaltextrun"/>
          <w:rFonts w:ascii="Arial" w:eastAsiaTheme="majorEastAsia" w:hAnsi="Arial" w:cs="Arial"/>
          <w:sz w:val="22"/>
          <w:szCs w:val="22"/>
        </w:rPr>
        <w:t>. (2019).</w:t>
      </w:r>
      <w:r w:rsidRPr="00D53D95">
        <w:rPr>
          <w:rStyle w:val="normaltextrun"/>
          <w:rFonts w:ascii="Arial" w:eastAsiaTheme="majorEastAsia" w:hAnsi="Arial" w:cs="Arial"/>
          <w:i/>
          <w:iCs/>
          <w:sz w:val="22"/>
          <w:szCs w:val="22"/>
        </w:rPr>
        <w:t xml:space="preserve"> Advertising Law: A Global Legal Perspective</w:t>
      </w:r>
      <w:r w:rsidRPr="00D53D95">
        <w:rPr>
          <w:rStyle w:val="normaltextrun"/>
          <w:rFonts w:ascii="Arial" w:eastAsiaTheme="majorEastAsia" w:hAnsi="Arial" w:cs="Arial"/>
          <w:sz w:val="22"/>
          <w:szCs w:val="22"/>
        </w:rPr>
        <w:t>. New York: GALA.</w:t>
      </w:r>
      <w:r w:rsidRPr="00D53D95">
        <w:rPr>
          <w:rStyle w:val="eop"/>
          <w:rFonts w:ascii="Arial" w:eastAsiaTheme="majorEastAsia" w:hAnsi="Arial" w:cs="Arial"/>
          <w:sz w:val="22"/>
          <w:szCs w:val="22"/>
        </w:rPr>
        <w:t> </w:t>
      </w:r>
    </w:p>
    <w:p w14:paraId="3A35D7F0"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proofErr w:type="spellStart"/>
      <w:r w:rsidRPr="00D53D95">
        <w:rPr>
          <w:rStyle w:val="normaltextrun"/>
          <w:rFonts w:ascii="Arial" w:eastAsiaTheme="majorEastAsia" w:hAnsi="Arial" w:cs="Arial"/>
          <w:sz w:val="22"/>
          <w:szCs w:val="22"/>
        </w:rPr>
        <w:t>Gowling</w:t>
      </w:r>
      <w:proofErr w:type="spellEnd"/>
      <w:r w:rsidRPr="00D53D95">
        <w:rPr>
          <w:rStyle w:val="normaltextrun"/>
          <w:rFonts w:ascii="Arial" w:eastAsiaTheme="majorEastAsia" w:hAnsi="Arial" w:cs="Arial"/>
          <w:sz w:val="22"/>
          <w:szCs w:val="22"/>
        </w:rPr>
        <w:t xml:space="preserve"> WLG. (2023). </w:t>
      </w:r>
      <w:r w:rsidRPr="00D53D95">
        <w:rPr>
          <w:rStyle w:val="normaltextrun"/>
          <w:rFonts w:ascii="Arial" w:eastAsiaTheme="majorEastAsia" w:hAnsi="Arial" w:cs="Arial"/>
          <w:i/>
          <w:iCs/>
          <w:sz w:val="22"/>
          <w:szCs w:val="22"/>
        </w:rPr>
        <w:t>Doing Business in Canada: Advertising</w:t>
      </w:r>
      <w:r w:rsidRPr="00D53D95">
        <w:rPr>
          <w:rStyle w:val="normaltextrun"/>
          <w:rFonts w:ascii="Arial" w:eastAsiaTheme="majorEastAsia" w:hAnsi="Arial" w:cs="Arial"/>
          <w:sz w:val="22"/>
          <w:szCs w:val="22"/>
        </w:rPr>
        <w:t xml:space="preserve">. </w:t>
      </w:r>
      <w:proofErr w:type="spellStart"/>
      <w:r w:rsidRPr="00D53D95">
        <w:rPr>
          <w:rStyle w:val="normaltextrun"/>
          <w:rFonts w:ascii="Arial" w:eastAsiaTheme="majorEastAsia" w:hAnsi="Arial" w:cs="Arial"/>
          <w:sz w:val="22"/>
          <w:szCs w:val="22"/>
        </w:rPr>
        <w:t>Gowling</w:t>
      </w:r>
      <w:proofErr w:type="spellEnd"/>
      <w:r w:rsidRPr="00D53D95">
        <w:rPr>
          <w:rStyle w:val="normaltextrun"/>
          <w:rFonts w:ascii="Arial" w:eastAsiaTheme="majorEastAsia" w:hAnsi="Arial" w:cs="Arial"/>
          <w:sz w:val="22"/>
          <w:szCs w:val="22"/>
        </w:rPr>
        <w:t xml:space="preserve"> WLG. Available: </w:t>
      </w:r>
      <w:hyperlink r:id="rId180" w:tgtFrame="_blank" w:history="1">
        <w:r w:rsidRPr="00D53D95">
          <w:rPr>
            <w:rStyle w:val="normaltextrun"/>
            <w:rFonts w:ascii="Arial" w:eastAsiaTheme="majorEastAsia" w:hAnsi="Arial" w:cs="Arial"/>
            <w:color w:val="0563C1"/>
            <w:sz w:val="22"/>
            <w:szCs w:val="22"/>
            <w:u w:val="single"/>
          </w:rPr>
          <w:t>https://gowlingwlg.com/en/insights-resources/guides/2023/doing-business-in-canada-advertising/</w:t>
        </w:r>
      </w:hyperlink>
      <w:r w:rsidRPr="00D53D95">
        <w:rPr>
          <w:rStyle w:val="normaltextrun"/>
          <w:rFonts w:ascii="Arial" w:eastAsiaTheme="majorEastAsia" w:hAnsi="Arial" w:cs="Arial"/>
          <w:sz w:val="22"/>
          <w:szCs w:val="22"/>
        </w:rPr>
        <w:t xml:space="preserve"> (accessed 21 July 2024).</w:t>
      </w:r>
      <w:r w:rsidRPr="00D53D95">
        <w:rPr>
          <w:rStyle w:val="eop"/>
          <w:rFonts w:ascii="Arial" w:eastAsiaTheme="majorEastAsia" w:hAnsi="Arial" w:cs="Arial"/>
          <w:sz w:val="22"/>
          <w:szCs w:val="22"/>
        </w:rPr>
        <w:t> </w:t>
      </w:r>
    </w:p>
    <w:p w14:paraId="3EA9E522"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Hallin, D.C. and Mancini, P. (2004). </w:t>
      </w:r>
      <w:r w:rsidRPr="00D53D95">
        <w:rPr>
          <w:rStyle w:val="normaltextrun"/>
          <w:rFonts w:ascii="Arial" w:eastAsiaTheme="majorEastAsia" w:hAnsi="Arial" w:cs="Arial"/>
          <w:i/>
          <w:iCs/>
          <w:sz w:val="22"/>
          <w:szCs w:val="22"/>
        </w:rPr>
        <w:t>Comparing Media Systems: Three Models of Media and Politics</w:t>
      </w:r>
      <w:r w:rsidRPr="00D53D95">
        <w:rPr>
          <w:rStyle w:val="normaltextrun"/>
          <w:rFonts w:ascii="Arial" w:eastAsiaTheme="majorEastAsia" w:hAnsi="Arial" w:cs="Arial"/>
          <w:sz w:val="22"/>
          <w:szCs w:val="22"/>
        </w:rPr>
        <w:t>. Cambridge: Cambridge University Press.  </w:t>
      </w:r>
      <w:r w:rsidRPr="00D53D95">
        <w:rPr>
          <w:rStyle w:val="eop"/>
          <w:rFonts w:ascii="Arial" w:eastAsiaTheme="majorEastAsia" w:hAnsi="Arial" w:cs="Arial"/>
          <w:sz w:val="22"/>
          <w:szCs w:val="22"/>
        </w:rPr>
        <w:t> </w:t>
      </w:r>
    </w:p>
    <w:p w14:paraId="16C8261E"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Harrison, M., Iatrou, N., Francis, C., &amp; Bouras, E. (2023). </w:t>
      </w:r>
      <w:r w:rsidRPr="00D53D95">
        <w:rPr>
          <w:rStyle w:val="normaltextrun"/>
          <w:rFonts w:ascii="Arial" w:eastAsiaTheme="majorEastAsia" w:hAnsi="Arial" w:cs="Arial"/>
          <w:i/>
          <w:iCs/>
          <w:sz w:val="22"/>
          <w:szCs w:val="22"/>
        </w:rPr>
        <w:t>Advertising &amp; Marketing in Canada</w:t>
      </w:r>
      <w:r w:rsidRPr="00D53D95">
        <w:rPr>
          <w:rStyle w:val="normaltextrun"/>
          <w:rFonts w:ascii="Arial" w:eastAsiaTheme="majorEastAsia" w:hAnsi="Arial" w:cs="Arial"/>
          <w:sz w:val="22"/>
          <w:szCs w:val="22"/>
        </w:rPr>
        <w:t>. London: The Legal 500. Available: https://www.legal500.com/guides/chapter/canada-advertising-marketing/ (accessed: 5 March 2024).</w:t>
      </w:r>
      <w:r w:rsidRPr="00D53D95">
        <w:rPr>
          <w:rStyle w:val="eop"/>
          <w:rFonts w:ascii="Arial" w:eastAsiaTheme="majorEastAsia" w:hAnsi="Arial" w:cs="Arial"/>
          <w:sz w:val="22"/>
          <w:szCs w:val="22"/>
        </w:rPr>
        <w:t> </w:t>
      </w:r>
    </w:p>
    <w:p w14:paraId="176AFB6F"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IAB Canada (The Interactive Advertising Bureau of Canada). (2023). </w:t>
      </w:r>
      <w:r w:rsidRPr="00D53D95">
        <w:rPr>
          <w:rStyle w:val="normaltextrun"/>
          <w:rFonts w:ascii="Arial" w:eastAsiaTheme="majorEastAsia" w:hAnsi="Arial" w:cs="Arial"/>
          <w:i/>
          <w:iCs/>
          <w:sz w:val="22"/>
          <w:szCs w:val="22"/>
        </w:rPr>
        <w:t>Revenue Survey 2022</w:t>
      </w:r>
      <w:r w:rsidRPr="00D53D95">
        <w:rPr>
          <w:rStyle w:val="normaltextrun"/>
          <w:rFonts w:ascii="Arial" w:eastAsiaTheme="majorEastAsia" w:hAnsi="Arial" w:cs="Arial"/>
          <w:sz w:val="22"/>
          <w:szCs w:val="22"/>
        </w:rPr>
        <w:t xml:space="preserve">. Toronto: IAB Canada. Available: </w:t>
      </w:r>
      <w:hyperlink r:id="rId181" w:tgtFrame="_blank" w:history="1">
        <w:r w:rsidRPr="00D53D95">
          <w:rPr>
            <w:rStyle w:val="normaltextrun"/>
            <w:rFonts w:ascii="Arial" w:eastAsiaTheme="majorEastAsia" w:hAnsi="Arial" w:cs="Arial"/>
            <w:color w:val="0563C1"/>
            <w:sz w:val="22"/>
            <w:szCs w:val="22"/>
            <w:u w:val="single"/>
          </w:rPr>
          <w:t>IABCanadaRevenueSurvey2022_Final.pdf</w:t>
        </w:r>
      </w:hyperlink>
      <w:r w:rsidRPr="00D53D95">
        <w:rPr>
          <w:rStyle w:val="normaltextrun"/>
          <w:rFonts w:ascii="Arial" w:eastAsiaTheme="majorEastAsia" w:hAnsi="Arial" w:cs="Arial"/>
          <w:sz w:val="22"/>
          <w:szCs w:val="22"/>
        </w:rPr>
        <w:t xml:space="preserve"> (accessed: 21 July 2024).</w:t>
      </w:r>
      <w:r w:rsidRPr="00D53D95">
        <w:rPr>
          <w:rStyle w:val="eop"/>
          <w:rFonts w:ascii="Arial" w:eastAsiaTheme="majorEastAsia" w:hAnsi="Arial" w:cs="Arial"/>
          <w:sz w:val="22"/>
          <w:szCs w:val="22"/>
        </w:rPr>
        <w:t> </w:t>
      </w:r>
    </w:p>
    <w:p w14:paraId="7E3C7D14"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IAB Canada. (2022). </w:t>
      </w:r>
      <w:r w:rsidRPr="00D53D95">
        <w:rPr>
          <w:rStyle w:val="normaltextrun"/>
          <w:rFonts w:ascii="Arial" w:eastAsiaTheme="majorEastAsia" w:hAnsi="Arial" w:cs="Arial"/>
          <w:i/>
          <w:iCs/>
          <w:sz w:val="22"/>
          <w:szCs w:val="22"/>
        </w:rPr>
        <w:t>Revenue Survey 2021</w:t>
      </w:r>
      <w:r w:rsidRPr="00D53D95">
        <w:rPr>
          <w:rStyle w:val="normaltextrun"/>
          <w:rFonts w:ascii="Arial" w:eastAsiaTheme="majorEastAsia" w:hAnsi="Arial" w:cs="Arial"/>
          <w:sz w:val="22"/>
          <w:szCs w:val="22"/>
        </w:rPr>
        <w:t xml:space="preserve">. Toronto: IAB Canada. Available: </w:t>
      </w:r>
      <w:hyperlink r:id="rId182" w:tgtFrame="_blank" w:history="1">
        <w:r w:rsidRPr="00D53D95">
          <w:rPr>
            <w:rStyle w:val="normaltextrun"/>
            <w:rFonts w:ascii="Arial" w:eastAsiaTheme="majorEastAsia" w:hAnsi="Arial" w:cs="Arial"/>
            <w:color w:val="0563C1"/>
            <w:sz w:val="22"/>
            <w:szCs w:val="22"/>
            <w:u w:val="single"/>
          </w:rPr>
          <w:t>https://iabcanada.com/wp-content/uploads/2022/06/IAB-Canada-Revenue-Survey-2021-Final.pdf</w:t>
        </w:r>
      </w:hyperlink>
      <w:r w:rsidRPr="00D53D95">
        <w:rPr>
          <w:rStyle w:val="normaltextrun"/>
          <w:rFonts w:ascii="Arial" w:eastAsiaTheme="majorEastAsia" w:hAnsi="Arial" w:cs="Arial"/>
          <w:sz w:val="22"/>
          <w:szCs w:val="22"/>
        </w:rPr>
        <w:t xml:space="preserve"> (accessed: 18 July 2024).</w:t>
      </w:r>
      <w:r w:rsidRPr="00D53D95">
        <w:rPr>
          <w:rStyle w:val="eop"/>
          <w:rFonts w:ascii="Arial" w:eastAsiaTheme="majorEastAsia" w:hAnsi="Arial" w:cs="Arial"/>
          <w:sz w:val="22"/>
          <w:szCs w:val="22"/>
        </w:rPr>
        <w:t> </w:t>
      </w:r>
    </w:p>
    <w:p w14:paraId="71976B76"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IBIS World. (2023). </w:t>
      </w:r>
      <w:r w:rsidRPr="00D53D95">
        <w:rPr>
          <w:rStyle w:val="normaltextrun"/>
          <w:rFonts w:ascii="Arial" w:eastAsiaTheme="majorEastAsia" w:hAnsi="Arial" w:cs="Arial"/>
          <w:i/>
          <w:iCs/>
          <w:sz w:val="22"/>
          <w:szCs w:val="22"/>
        </w:rPr>
        <w:t>Newspaper Publishing Industry in Canada: Market Size, Industry Analysis, Trends and Forecasts (2024-2029)</w:t>
      </w:r>
      <w:r w:rsidRPr="00D53D95">
        <w:rPr>
          <w:rStyle w:val="normaltextrun"/>
          <w:rFonts w:ascii="Arial" w:eastAsiaTheme="majorEastAsia" w:hAnsi="Arial" w:cs="Arial"/>
          <w:sz w:val="22"/>
          <w:szCs w:val="22"/>
        </w:rPr>
        <w:t>. New York: IBIS World. Available: https://www.ibisworld.com/canada/market-research-reports/newspaper-publishing-industry/ (accessed: 1 May 2024).</w:t>
      </w:r>
      <w:r w:rsidRPr="00D53D95">
        <w:rPr>
          <w:rStyle w:val="eop"/>
          <w:rFonts w:ascii="Arial" w:eastAsiaTheme="majorEastAsia" w:hAnsi="Arial" w:cs="Arial"/>
          <w:sz w:val="22"/>
          <w:szCs w:val="22"/>
        </w:rPr>
        <w:t> </w:t>
      </w:r>
    </w:p>
    <w:p w14:paraId="5902902B"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lastRenderedPageBreak/>
        <w:t xml:space="preserve">ICAS (The International Council on Ad Self-Regulation). </w:t>
      </w:r>
      <w:r w:rsidRPr="00D53D95">
        <w:rPr>
          <w:rStyle w:val="normaltextrun"/>
          <w:rFonts w:ascii="Arial" w:eastAsiaTheme="majorEastAsia" w:hAnsi="Arial" w:cs="Arial"/>
          <w:sz w:val="22"/>
          <w:szCs w:val="22"/>
        </w:rPr>
        <w:t xml:space="preserve">2021. </w:t>
      </w:r>
      <w:r w:rsidRPr="00D53D95">
        <w:rPr>
          <w:rStyle w:val="normaltextrun"/>
          <w:rFonts w:ascii="Arial" w:eastAsiaTheme="majorEastAsia" w:hAnsi="Arial" w:cs="Arial"/>
          <w:i/>
          <w:iCs/>
          <w:sz w:val="22"/>
          <w:szCs w:val="22"/>
        </w:rPr>
        <w:t>The ICAS Global SRO Database</w:t>
      </w:r>
      <w:r w:rsidRPr="00D53D95">
        <w:rPr>
          <w:rStyle w:val="normaltextrun"/>
          <w:rFonts w:ascii="Arial" w:eastAsiaTheme="majorEastAsia" w:hAnsi="Arial" w:cs="Arial"/>
          <w:sz w:val="22"/>
          <w:szCs w:val="22"/>
        </w:rPr>
        <w:t xml:space="preserve">. Belgium: ICAS. Available: </w:t>
      </w:r>
      <w:hyperlink r:id="rId183" w:tgtFrame="_blank" w:history="1">
        <w:r w:rsidRPr="00D53D95">
          <w:rPr>
            <w:rStyle w:val="normaltextrun"/>
            <w:rFonts w:ascii="Arial" w:eastAsiaTheme="majorEastAsia" w:hAnsi="Arial" w:cs="Arial"/>
            <w:color w:val="0563C1"/>
            <w:sz w:val="22"/>
            <w:szCs w:val="22"/>
            <w:u w:val="single"/>
          </w:rPr>
          <w:t>https://icas.global/srodatabase/</w:t>
        </w:r>
      </w:hyperlink>
      <w:r w:rsidRPr="00D53D95">
        <w:rPr>
          <w:rStyle w:val="normaltextrun"/>
          <w:rFonts w:ascii="Arial" w:eastAsiaTheme="majorEastAsia" w:hAnsi="Arial" w:cs="Arial"/>
          <w:color w:val="000000"/>
          <w:sz w:val="22"/>
          <w:szCs w:val="22"/>
        </w:rPr>
        <w:t xml:space="preserve"> (accessed: 12 December 2022).</w:t>
      </w:r>
      <w:r w:rsidRPr="00D53D95">
        <w:rPr>
          <w:rStyle w:val="eop"/>
          <w:rFonts w:ascii="Arial" w:eastAsiaTheme="majorEastAsia" w:hAnsi="Arial" w:cs="Arial"/>
          <w:color w:val="000000"/>
          <w:sz w:val="22"/>
          <w:szCs w:val="22"/>
        </w:rPr>
        <w:t> </w:t>
      </w:r>
    </w:p>
    <w:p w14:paraId="526196AA"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McKenzie, J. (2021). ‘Canada’, in Jordan, P. and Butcher, A. (ed.) </w:t>
      </w:r>
      <w:r w:rsidRPr="00D53D95">
        <w:rPr>
          <w:rStyle w:val="normaltextrun"/>
          <w:rFonts w:ascii="Arial" w:eastAsiaTheme="majorEastAsia" w:hAnsi="Arial" w:cs="Arial"/>
          <w:i/>
          <w:iCs/>
          <w:sz w:val="22"/>
          <w:szCs w:val="22"/>
        </w:rPr>
        <w:t>International Advertising Law: A Practical Global Guide</w:t>
      </w:r>
      <w:r w:rsidRPr="00D53D95">
        <w:rPr>
          <w:rStyle w:val="normaltextrun"/>
          <w:rFonts w:ascii="Arial" w:eastAsiaTheme="majorEastAsia" w:hAnsi="Arial" w:cs="Arial"/>
          <w:sz w:val="22"/>
          <w:szCs w:val="22"/>
        </w:rPr>
        <w:t>. Surrey: Globe Law and Business. 101-140.</w:t>
      </w:r>
      <w:r w:rsidRPr="00D53D95">
        <w:rPr>
          <w:rStyle w:val="eop"/>
          <w:rFonts w:ascii="Arial" w:eastAsiaTheme="majorEastAsia" w:hAnsi="Arial" w:cs="Arial"/>
          <w:sz w:val="22"/>
          <w:szCs w:val="22"/>
        </w:rPr>
        <w:t> </w:t>
      </w:r>
    </w:p>
    <w:p w14:paraId="04DDD7D2"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proofErr w:type="spellStart"/>
      <w:r w:rsidRPr="00D53D95">
        <w:rPr>
          <w:rStyle w:val="normaltextrun"/>
          <w:rFonts w:ascii="Arial" w:eastAsiaTheme="majorEastAsia" w:hAnsi="Arial" w:cs="Arial"/>
          <w:sz w:val="22"/>
          <w:szCs w:val="22"/>
        </w:rPr>
        <w:t>Polaschek</w:t>
      </w:r>
      <w:proofErr w:type="spellEnd"/>
      <w:r w:rsidRPr="00D53D95">
        <w:rPr>
          <w:rStyle w:val="normaltextrun"/>
          <w:rFonts w:ascii="Arial" w:eastAsiaTheme="majorEastAsia" w:hAnsi="Arial" w:cs="Arial"/>
          <w:sz w:val="22"/>
          <w:szCs w:val="22"/>
        </w:rPr>
        <w:t xml:space="preserve">, M. F. (2002). </w:t>
      </w:r>
      <w:r w:rsidRPr="00D53D95">
        <w:rPr>
          <w:rStyle w:val="normaltextrun"/>
          <w:rFonts w:ascii="Arial" w:eastAsiaTheme="majorEastAsia" w:hAnsi="Arial" w:cs="Arial"/>
          <w:i/>
          <w:iCs/>
          <w:sz w:val="22"/>
          <w:szCs w:val="22"/>
        </w:rPr>
        <w:t>Implementation of International and Supra-national Law by Sub-national Units</w:t>
      </w:r>
      <w:r w:rsidRPr="00D53D95">
        <w:rPr>
          <w:rStyle w:val="normaltextrun"/>
          <w:rFonts w:ascii="Arial" w:eastAsiaTheme="majorEastAsia" w:hAnsi="Arial" w:cs="Arial"/>
          <w:sz w:val="22"/>
          <w:szCs w:val="22"/>
        </w:rPr>
        <w:t xml:space="preserve">. Ottawa: Forum of Federations. Available: </w:t>
      </w:r>
      <w:hyperlink r:id="rId184" w:tgtFrame="_blank" w:history="1">
        <w:r w:rsidRPr="00D53D95">
          <w:rPr>
            <w:rStyle w:val="normaltextrun"/>
            <w:rFonts w:ascii="Arial" w:eastAsiaTheme="majorEastAsia" w:hAnsi="Arial" w:cs="Arial"/>
            <w:color w:val="0563C1"/>
            <w:sz w:val="22"/>
            <w:szCs w:val="22"/>
            <w:u w:val="single"/>
          </w:rPr>
          <w:t>https://forumfed.org/document/implementation-of-international-and-supra-national-law-by-sub-national-units/</w:t>
        </w:r>
      </w:hyperlink>
      <w:r w:rsidRPr="00D53D95">
        <w:rPr>
          <w:rStyle w:val="normaltextrun"/>
          <w:rFonts w:ascii="Arial" w:eastAsiaTheme="majorEastAsia" w:hAnsi="Arial" w:cs="Arial"/>
          <w:sz w:val="22"/>
          <w:szCs w:val="22"/>
        </w:rPr>
        <w:t xml:space="preserve"> (accessed 21 July 2024).</w:t>
      </w:r>
      <w:r w:rsidRPr="00D53D95">
        <w:rPr>
          <w:rStyle w:val="eop"/>
          <w:rFonts w:ascii="Arial" w:eastAsiaTheme="majorEastAsia" w:hAnsi="Arial" w:cs="Arial"/>
          <w:sz w:val="22"/>
          <w:szCs w:val="22"/>
        </w:rPr>
        <w:t> </w:t>
      </w:r>
    </w:p>
    <w:p w14:paraId="4DAD4185"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 xml:space="preserve">Reporters Sans Frontières. (2023). </w:t>
      </w:r>
      <w:r w:rsidRPr="00D53D95">
        <w:rPr>
          <w:rStyle w:val="normaltextrun"/>
          <w:rFonts w:ascii="Arial" w:eastAsiaTheme="majorEastAsia" w:hAnsi="Arial" w:cs="Arial"/>
          <w:i/>
          <w:iCs/>
          <w:color w:val="000000"/>
          <w:sz w:val="22"/>
          <w:szCs w:val="22"/>
        </w:rPr>
        <w:t>World Press Freedom Index</w:t>
      </w:r>
      <w:r w:rsidRPr="00D53D95">
        <w:rPr>
          <w:rStyle w:val="normaltextrun"/>
          <w:rFonts w:ascii="Arial" w:eastAsiaTheme="majorEastAsia" w:hAnsi="Arial" w:cs="Arial"/>
          <w:color w:val="000000"/>
          <w:sz w:val="22"/>
          <w:szCs w:val="22"/>
        </w:rPr>
        <w:t xml:space="preserve">. Version 2023. Available: </w:t>
      </w:r>
      <w:hyperlink r:id="rId185" w:tgtFrame="_blank" w:history="1">
        <w:r w:rsidRPr="00D53D95">
          <w:rPr>
            <w:rStyle w:val="normaltextrun"/>
            <w:rFonts w:ascii="Arial" w:eastAsiaTheme="majorEastAsia" w:hAnsi="Arial" w:cs="Arial"/>
            <w:color w:val="0563C1"/>
            <w:sz w:val="22"/>
            <w:szCs w:val="22"/>
            <w:u w:val="single"/>
          </w:rPr>
          <w:t>https://rsf.org/en/index</w:t>
        </w:r>
      </w:hyperlink>
      <w:r w:rsidRPr="00D53D95">
        <w:rPr>
          <w:rStyle w:val="normaltextrun"/>
          <w:rFonts w:ascii="Arial" w:eastAsiaTheme="majorEastAsia" w:hAnsi="Arial" w:cs="Arial"/>
          <w:color w:val="000000"/>
          <w:sz w:val="22"/>
          <w:szCs w:val="22"/>
        </w:rPr>
        <w:t xml:space="preserve"> (accessed: 20</w:t>
      </w:r>
      <w:r w:rsidRPr="00D53D95">
        <w:rPr>
          <w:rStyle w:val="normaltextrun"/>
          <w:rFonts w:ascii="Arial" w:eastAsiaTheme="majorEastAsia" w:hAnsi="Arial" w:cs="Arial"/>
          <w:color w:val="000000"/>
          <w:sz w:val="22"/>
          <w:szCs w:val="22"/>
          <w:vertAlign w:val="superscript"/>
        </w:rPr>
        <w:t>th</w:t>
      </w:r>
      <w:r w:rsidRPr="00D53D95">
        <w:rPr>
          <w:rStyle w:val="normaltextrun"/>
          <w:rFonts w:ascii="Arial" w:eastAsiaTheme="majorEastAsia" w:hAnsi="Arial" w:cs="Arial"/>
          <w:color w:val="000000"/>
          <w:sz w:val="22"/>
          <w:szCs w:val="22"/>
        </w:rPr>
        <w:t xml:space="preserve"> November 2023).</w:t>
      </w:r>
      <w:r w:rsidRPr="00D53D95">
        <w:rPr>
          <w:rStyle w:val="eop"/>
          <w:rFonts w:ascii="Arial" w:eastAsiaTheme="majorEastAsia" w:hAnsi="Arial" w:cs="Arial"/>
          <w:color w:val="000000"/>
          <w:sz w:val="22"/>
          <w:szCs w:val="22"/>
        </w:rPr>
        <w:t> </w:t>
      </w:r>
    </w:p>
    <w:p w14:paraId="0AB767EE"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color w:val="000000"/>
          <w:sz w:val="22"/>
          <w:szCs w:val="22"/>
        </w:rPr>
        <w:t xml:space="preserve">Reive, J., Brooks, C. D., Ajami, A., &amp; </w:t>
      </w:r>
      <w:proofErr w:type="spellStart"/>
      <w:r w:rsidRPr="00D53D95">
        <w:rPr>
          <w:rStyle w:val="normaltextrun"/>
          <w:rFonts w:ascii="Arial" w:eastAsiaTheme="majorEastAsia" w:hAnsi="Arial" w:cs="Arial"/>
          <w:color w:val="000000"/>
          <w:sz w:val="22"/>
          <w:szCs w:val="22"/>
        </w:rPr>
        <w:t>Ricioppo</w:t>
      </w:r>
      <w:proofErr w:type="spellEnd"/>
      <w:r w:rsidRPr="00D53D95">
        <w:rPr>
          <w:rStyle w:val="normaltextrun"/>
          <w:rFonts w:ascii="Arial" w:eastAsiaTheme="majorEastAsia" w:hAnsi="Arial" w:cs="Arial"/>
          <w:color w:val="000000"/>
          <w:sz w:val="22"/>
          <w:szCs w:val="22"/>
        </w:rPr>
        <w:t xml:space="preserve">, A. (2023). </w:t>
      </w:r>
      <w:r w:rsidRPr="00D53D95">
        <w:rPr>
          <w:rStyle w:val="normaltextrun"/>
          <w:rFonts w:ascii="Arial" w:eastAsiaTheme="majorEastAsia" w:hAnsi="Arial" w:cs="Arial"/>
          <w:i/>
          <w:iCs/>
          <w:color w:val="000000"/>
          <w:sz w:val="22"/>
          <w:szCs w:val="22"/>
        </w:rPr>
        <w:t>Advertising &amp; Marketing in Canada</w:t>
      </w:r>
      <w:r w:rsidRPr="00D53D95">
        <w:rPr>
          <w:rStyle w:val="normaltextrun"/>
          <w:rFonts w:ascii="Arial" w:eastAsiaTheme="majorEastAsia" w:hAnsi="Arial" w:cs="Arial"/>
          <w:color w:val="000000"/>
          <w:sz w:val="22"/>
          <w:szCs w:val="22"/>
        </w:rPr>
        <w:t>. Chambers and Partners. Available: https://practiceguides.chambers.com/practice-guides/advertising-marketing-2023/canada (accessed: 5 March 2024).</w:t>
      </w:r>
      <w:r w:rsidRPr="00D53D95">
        <w:rPr>
          <w:rStyle w:val="eop"/>
          <w:rFonts w:ascii="Arial" w:eastAsiaTheme="majorEastAsia" w:hAnsi="Arial" w:cs="Arial"/>
          <w:color w:val="000000"/>
          <w:sz w:val="22"/>
          <w:szCs w:val="22"/>
        </w:rPr>
        <w:t> </w:t>
      </w:r>
    </w:p>
    <w:p w14:paraId="391ADC6B"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Statistics Canada. (2021). </w:t>
      </w:r>
      <w:r w:rsidRPr="00D53D95">
        <w:rPr>
          <w:rStyle w:val="normaltextrun"/>
          <w:rFonts w:ascii="Arial" w:eastAsiaTheme="majorEastAsia" w:hAnsi="Arial" w:cs="Arial"/>
          <w:i/>
          <w:iCs/>
          <w:sz w:val="22"/>
          <w:szCs w:val="22"/>
        </w:rPr>
        <w:t>Gross domestic product by industry, March 2021</w:t>
      </w:r>
      <w:r w:rsidRPr="00D53D95">
        <w:rPr>
          <w:rStyle w:val="normaltextrun"/>
          <w:rFonts w:ascii="Arial" w:eastAsiaTheme="majorEastAsia" w:hAnsi="Arial" w:cs="Arial"/>
          <w:sz w:val="22"/>
          <w:szCs w:val="22"/>
        </w:rPr>
        <w:t xml:space="preserve">. Ottawa: </w:t>
      </w:r>
      <w:proofErr w:type="spellStart"/>
      <w:r w:rsidRPr="00D53D95">
        <w:rPr>
          <w:rStyle w:val="normaltextrun"/>
          <w:rFonts w:ascii="Arial" w:eastAsiaTheme="majorEastAsia" w:hAnsi="Arial" w:cs="Arial"/>
          <w:sz w:val="22"/>
          <w:szCs w:val="22"/>
        </w:rPr>
        <w:t>StatCan</w:t>
      </w:r>
      <w:proofErr w:type="spellEnd"/>
      <w:r w:rsidRPr="00D53D95">
        <w:rPr>
          <w:rStyle w:val="normaltextrun"/>
          <w:rFonts w:ascii="Arial" w:eastAsiaTheme="majorEastAsia" w:hAnsi="Arial" w:cs="Arial"/>
          <w:sz w:val="22"/>
          <w:szCs w:val="22"/>
        </w:rPr>
        <w:t xml:space="preserve">. Available: </w:t>
      </w:r>
      <w:hyperlink r:id="rId186" w:tgtFrame="_blank" w:history="1">
        <w:r w:rsidRPr="00D53D95">
          <w:rPr>
            <w:rStyle w:val="normaltextrun"/>
            <w:rFonts w:ascii="Arial" w:eastAsiaTheme="majorEastAsia" w:hAnsi="Arial" w:cs="Arial"/>
            <w:color w:val="0563C1"/>
            <w:sz w:val="22"/>
            <w:szCs w:val="22"/>
            <w:u w:val="single"/>
          </w:rPr>
          <w:t>https://www150.statcan.gc.ca/n1/daily-quotidien/210531/dq210531d-eng.htm</w:t>
        </w:r>
      </w:hyperlink>
      <w:r w:rsidRPr="00D53D95">
        <w:rPr>
          <w:rStyle w:val="normaltextrun"/>
          <w:rFonts w:ascii="Arial" w:eastAsiaTheme="majorEastAsia" w:hAnsi="Arial" w:cs="Arial"/>
          <w:sz w:val="22"/>
          <w:szCs w:val="22"/>
        </w:rPr>
        <w:t xml:space="preserve"> [Accessed 18 Jul. 2024].</w:t>
      </w:r>
      <w:r w:rsidRPr="00D53D95">
        <w:rPr>
          <w:rStyle w:val="eop"/>
          <w:rFonts w:ascii="Arial" w:eastAsiaTheme="majorEastAsia" w:hAnsi="Arial" w:cs="Arial"/>
          <w:sz w:val="22"/>
          <w:szCs w:val="22"/>
        </w:rPr>
        <w:t> </w:t>
      </w:r>
    </w:p>
    <w:p w14:paraId="5686CF3C"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r w:rsidRPr="00D53D95">
        <w:rPr>
          <w:rStyle w:val="normaltextrun"/>
          <w:rFonts w:ascii="Arial" w:eastAsiaTheme="majorEastAsia" w:hAnsi="Arial" w:cs="Arial"/>
          <w:sz w:val="22"/>
          <w:szCs w:val="22"/>
        </w:rPr>
        <w:t xml:space="preserve">World Bank, The. 2021/2022. </w:t>
      </w:r>
      <w:r w:rsidRPr="00D53D95">
        <w:rPr>
          <w:rStyle w:val="normaltextrun"/>
          <w:rFonts w:ascii="Arial" w:eastAsiaTheme="majorEastAsia" w:hAnsi="Arial" w:cs="Arial"/>
          <w:i/>
          <w:iCs/>
          <w:sz w:val="22"/>
          <w:szCs w:val="22"/>
        </w:rPr>
        <w:t>World Development Indicators: The World by Income and Region</w:t>
      </w:r>
      <w:r w:rsidRPr="00D53D95">
        <w:rPr>
          <w:rStyle w:val="normaltextrun"/>
          <w:rFonts w:ascii="Arial" w:eastAsiaTheme="majorEastAsia" w:hAnsi="Arial" w:cs="Arial"/>
          <w:sz w:val="22"/>
          <w:szCs w:val="22"/>
        </w:rPr>
        <w:t xml:space="preserve">. Washington: The World Bank. Available: </w:t>
      </w:r>
      <w:hyperlink r:id="rId187" w:anchor=":~:text=The%20World%20Bank%20classifies%20economies%20for%20analytical%20purposes,which%20is%20applied%20to%20smooth%20exchange%20rate%20fluctuations" w:tgtFrame="_blank" w:history="1">
        <w:r w:rsidRPr="00D53D95">
          <w:rPr>
            <w:rStyle w:val="normaltextrun"/>
            <w:rFonts w:ascii="Arial" w:eastAsiaTheme="majorEastAsia" w:hAnsi="Arial" w:cs="Arial"/>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D53D95">
        <w:rPr>
          <w:rStyle w:val="normaltextrun"/>
          <w:rFonts w:ascii="Arial" w:eastAsiaTheme="majorEastAsia" w:hAnsi="Arial" w:cs="Arial"/>
          <w:sz w:val="22"/>
          <w:szCs w:val="22"/>
        </w:rPr>
        <w:t xml:space="preserve"> (accessed: 12 December 2022).</w:t>
      </w:r>
      <w:r w:rsidRPr="00D53D95">
        <w:rPr>
          <w:rStyle w:val="eop"/>
          <w:rFonts w:ascii="Arial" w:eastAsiaTheme="majorEastAsia" w:hAnsi="Arial" w:cs="Arial"/>
          <w:sz w:val="22"/>
          <w:szCs w:val="22"/>
        </w:rPr>
        <w:t> </w:t>
      </w:r>
    </w:p>
    <w:p w14:paraId="0CC90CE3" w14:textId="77777777" w:rsidR="00D53D95" w:rsidRPr="00D53D95" w:rsidRDefault="00D53D95" w:rsidP="00D53D95">
      <w:pPr>
        <w:pStyle w:val="paragraph"/>
        <w:spacing w:before="0" w:beforeAutospacing="0" w:after="0" w:afterAutospacing="0"/>
        <w:ind w:left="720" w:hanging="720"/>
        <w:textAlignment w:val="baseline"/>
        <w:rPr>
          <w:rFonts w:ascii="Arial" w:hAnsi="Arial" w:cs="Arial"/>
          <w:sz w:val="22"/>
          <w:szCs w:val="22"/>
        </w:rPr>
      </w:pPr>
      <w:proofErr w:type="spellStart"/>
      <w:r w:rsidRPr="00D53D95">
        <w:rPr>
          <w:rStyle w:val="normaltextrun"/>
          <w:rFonts w:ascii="Arial" w:eastAsiaTheme="majorEastAsia" w:hAnsi="Arial" w:cs="Arial"/>
          <w:sz w:val="22"/>
          <w:szCs w:val="22"/>
        </w:rPr>
        <w:t>Winseck</w:t>
      </w:r>
      <w:proofErr w:type="spellEnd"/>
      <w:r w:rsidRPr="00D53D95">
        <w:rPr>
          <w:rStyle w:val="normaltextrun"/>
          <w:rFonts w:ascii="Arial" w:eastAsiaTheme="majorEastAsia" w:hAnsi="Arial" w:cs="Arial"/>
          <w:sz w:val="22"/>
          <w:szCs w:val="22"/>
        </w:rPr>
        <w:t xml:space="preserve">, Dwayne. (2022). ‘Growth and Upheaval in the Network Media Economy, 1984-2021'. </w:t>
      </w:r>
      <w:r w:rsidRPr="00D53D95">
        <w:rPr>
          <w:rStyle w:val="normaltextrun"/>
          <w:rFonts w:ascii="Arial" w:eastAsiaTheme="majorEastAsia" w:hAnsi="Arial" w:cs="Arial"/>
          <w:i/>
          <w:iCs/>
          <w:sz w:val="22"/>
          <w:szCs w:val="22"/>
        </w:rPr>
        <w:t>Global Media and Internet Concentration Project.</w:t>
      </w:r>
      <w:r w:rsidRPr="00D53D95">
        <w:rPr>
          <w:rStyle w:val="normaltextrun"/>
          <w:rFonts w:ascii="Arial" w:eastAsiaTheme="majorEastAsia" w:hAnsi="Arial" w:cs="Arial"/>
          <w:sz w:val="22"/>
          <w:szCs w:val="22"/>
        </w:rPr>
        <w:t xml:space="preserve"> Carleton: Carleton University. Available: </w:t>
      </w:r>
      <w:hyperlink r:id="rId188" w:tgtFrame="_blank" w:history="1">
        <w:r w:rsidRPr="00D53D95">
          <w:rPr>
            <w:rStyle w:val="normaltextrun"/>
            <w:rFonts w:ascii="Arial" w:eastAsiaTheme="majorEastAsia" w:hAnsi="Arial" w:cs="Arial"/>
            <w:color w:val="0563C1"/>
            <w:sz w:val="22"/>
            <w:szCs w:val="22"/>
            <w:u w:val="single"/>
          </w:rPr>
          <w:t>https://doi.org/10.22215/gmicp/2022.01</w:t>
        </w:r>
      </w:hyperlink>
      <w:r w:rsidRPr="00D53D95">
        <w:rPr>
          <w:rStyle w:val="normaltextrun"/>
          <w:rFonts w:ascii="Arial" w:eastAsiaTheme="majorEastAsia" w:hAnsi="Arial" w:cs="Arial"/>
          <w:sz w:val="22"/>
          <w:szCs w:val="22"/>
        </w:rPr>
        <w:t xml:space="preserve"> (accessed: 20 July 2024).</w:t>
      </w:r>
      <w:r w:rsidRPr="00D53D95">
        <w:rPr>
          <w:rStyle w:val="eop"/>
          <w:rFonts w:ascii="Arial" w:eastAsiaTheme="majorEastAsia" w:hAnsi="Arial" w:cs="Arial"/>
          <w:sz w:val="22"/>
          <w:szCs w:val="22"/>
        </w:rPr>
        <w:t> </w:t>
      </w:r>
    </w:p>
    <w:p w14:paraId="18001D02" w14:textId="77777777" w:rsidR="00D53D95" w:rsidRDefault="00D53D95" w:rsidP="00D53D95">
      <w:pPr>
        <w:pStyle w:val="paragraph"/>
        <w:spacing w:before="0" w:beforeAutospacing="0" w:after="0" w:afterAutospacing="0"/>
        <w:ind w:left="720" w:hanging="720"/>
        <w:textAlignment w:val="baseline"/>
        <w:rPr>
          <w:rFonts w:ascii="Segoe UI" w:hAnsi="Segoe UI" w:cs="Segoe UI"/>
          <w:sz w:val="18"/>
          <w:szCs w:val="18"/>
        </w:rPr>
      </w:pPr>
      <w:r>
        <w:rPr>
          <w:rStyle w:val="eop"/>
          <w:rFonts w:ascii="Calibri" w:eastAsiaTheme="majorEastAsia" w:hAnsi="Calibri" w:cs="Calibri"/>
          <w:sz w:val="22"/>
          <w:szCs w:val="22"/>
        </w:rPr>
        <w:t> </w:t>
      </w:r>
    </w:p>
    <w:p w14:paraId="4B92C29A" w14:textId="77777777" w:rsidR="00475121" w:rsidRPr="006E4E36" w:rsidRDefault="00475121" w:rsidP="008D27DF">
      <w:pPr>
        <w:pStyle w:val="Tableheadings"/>
      </w:pPr>
    </w:p>
    <w:sectPr w:rsidR="00475121" w:rsidRPr="006E4E36" w:rsidSect="000D63FE">
      <w:headerReference w:type="default" r:id="rId189"/>
      <w:footerReference w:type="first" r:id="rId190"/>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D5D624" w14:textId="77777777" w:rsidR="003F0EA6" w:rsidRDefault="003F0EA6" w:rsidP="00CB5035">
      <w:pPr>
        <w:spacing w:after="0" w:line="240" w:lineRule="auto"/>
      </w:pPr>
      <w:r>
        <w:separator/>
      </w:r>
    </w:p>
  </w:endnote>
  <w:endnote w:type="continuationSeparator" w:id="0">
    <w:p w14:paraId="7427803C" w14:textId="77777777" w:rsidR="003F0EA6" w:rsidRDefault="003F0EA6"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507268" w:rsidRDefault="00507268"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2D3681" w14:textId="77777777" w:rsidR="003F0EA6" w:rsidRDefault="003F0EA6" w:rsidP="00CB5035">
      <w:pPr>
        <w:spacing w:after="0" w:line="240" w:lineRule="auto"/>
      </w:pPr>
      <w:r>
        <w:separator/>
      </w:r>
    </w:p>
  </w:footnote>
  <w:footnote w:type="continuationSeparator" w:id="0">
    <w:p w14:paraId="13726778" w14:textId="77777777" w:rsidR="003F0EA6" w:rsidRDefault="003F0EA6"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25066077"/>
      <w:docPartObj>
        <w:docPartGallery w:val="Page Numbers (Bottom of Page)"/>
        <w:docPartUnique/>
      </w:docPartObj>
    </w:sdtPr>
    <w:sdtContent>
      <w:p w14:paraId="6CC362E6" w14:textId="48355DA1" w:rsidR="00507268" w:rsidRPr="0016559B" w:rsidRDefault="00507268"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574536EC" w:rsidR="00507268" w:rsidRPr="00CB5035" w:rsidRDefault="00507268"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w:t>
    </w:r>
    <w:r w:rsidR="00D53D95">
      <w:rPr>
        <w:rFonts w:eastAsia="Times New Roman"/>
        <w:color w:val="595959" w:themeColor="text1" w:themeTint="A6"/>
        <w:sz w:val="18"/>
        <w:szCs w:val="18"/>
        <w:shd w:val="clear" w:color="auto" w:fill="FFFFFF"/>
      </w:rPr>
      <w:t>anada</w:t>
    </w:r>
    <w:r>
      <w:rPr>
        <w:rFonts w:eastAsia="Times New Roman"/>
        <w:color w:val="595959" w:themeColor="text1" w:themeTint="A6"/>
        <w:sz w:val="18"/>
        <w:szCs w:val="18"/>
        <w:shd w:val="clear" w:color="auto" w:fill="FFFFFF"/>
      </w:rPr>
      <w:t xml:space="preserve"> </w:t>
    </w:r>
    <w:r w:rsidR="00D53D95">
      <w:rPr>
        <w:rFonts w:eastAsia="Times New Roman"/>
        <w:color w:val="595959" w:themeColor="text1" w:themeTint="A6"/>
        <w:sz w:val="18"/>
        <w:szCs w:val="18"/>
        <w:shd w:val="clear" w:color="auto" w:fill="FFFFFF"/>
      </w:rPr>
      <w:t>July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165A4F"/>
    <w:multiLevelType w:val="hybridMultilevel"/>
    <w:tmpl w:val="B476A7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06C34DB"/>
    <w:multiLevelType w:val="multilevel"/>
    <w:tmpl w:val="D6D0A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A02B20"/>
    <w:multiLevelType w:val="hybridMultilevel"/>
    <w:tmpl w:val="4FF872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A41F64"/>
    <w:multiLevelType w:val="multilevel"/>
    <w:tmpl w:val="D2CEC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49808F5"/>
    <w:multiLevelType w:val="hybridMultilevel"/>
    <w:tmpl w:val="8A263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7116CC"/>
    <w:multiLevelType w:val="multilevel"/>
    <w:tmpl w:val="92AEA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9A97577"/>
    <w:multiLevelType w:val="hybridMultilevel"/>
    <w:tmpl w:val="2D7A2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E5817F7"/>
    <w:multiLevelType w:val="multilevel"/>
    <w:tmpl w:val="20B4E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2" w15:restartNumberingAfterBreak="0">
    <w:nsid w:val="34060CF0"/>
    <w:multiLevelType w:val="hybridMultilevel"/>
    <w:tmpl w:val="27AEC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9D305B"/>
    <w:multiLevelType w:val="multilevel"/>
    <w:tmpl w:val="BB9CE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46263A"/>
    <w:multiLevelType w:val="hybridMultilevel"/>
    <w:tmpl w:val="797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0" w15:restartNumberingAfterBreak="0">
    <w:nsid w:val="538E2E51"/>
    <w:multiLevelType w:val="multilevel"/>
    <w:tmpl w:val="26DE9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DA3033E"/>
    <w:multiLevelType w:val="multilevel"/>
    <w:tmpl w:val="37F4E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8817B52"/>
    <w:multiLevelType w:val="hybridMultilevel"/>
    <w:tmpl w:val="9014B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2085A51"/>
    <w:multiLevelType w:val="multilevel"/>
    <w:tmpl w:val="57F83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678237227">
    <w:abstractNumId w:val="11"/>
  </w:num>
  <w:num w:numId="2" w16cid:durableId="1381517811">
    <w:abstractNumId w:val="31"/>
  </w:num>
  <w:num w:numId="3" w16cid:durableId="1712219088">
    <w:abstractNumId w:val="22"/>
  </w:num>
  <w:num w:numId="4" w16cid:durableId="2057505412">
    <w:abstractNumId w:val="19"/>
  </w:num>
  <w:num w:numId="5" w16cid:durableId="1303198566">
    <w:abstractNumId w:val="27"/>
  </w:num>
  <w:num w:numId="6" w16cid:durableId="558171654">
    <w:abstractNumId w:val="16"/>
  </w:num>
  <w:num w:numId="7" w16cid:durableId="403339088">
    <w:abstractNumId w:val="29"/>
  </w:num>
  <w:num w:numId="8" w16cid:durableId="1352493343">
    <w:abstractNumId w:val="0"/>
  </w:num>
  <w:num w:numId="9" w16cid:durableId="215170372">
    <w:abstractNumId w:val="2"/>
  </w:num>
  <w:num w:numId="10" w16cid:durableId="1744716633">
    <w:abstractNumId w:val="21"/>
  </w:num>
  <w:num w:numId="11" w16cid:durableId="947732697">
    <w:abstractNumId w:val="24"/>
  </w:num>
  <w:num w:numId="12" w16cid:durableId="590354995">
    <w:abstractNumId w:val="15"/>
  </w:num>
  <w:num w:numId="13" w16cid:durableId="717365206">
    <w:abstractNumId w:val="8"/>
  </w:num>
  <w:num w:numId="14" w16cid:durableId="1255089408">
    <w:abstractNumId w:val="26"/>
  </w:num>
  <w:num w:numId="15" w16cid:durableId="1615988108">
    <w:abstractNumId w:val="17"/>
  </w:num>
  <w:num w:numId="16" w16cid:durableId="808742396">
    <w:abstractNumId w:val="18"/>
  </w:num>
  <w:num w:numId="17" w16cid:durableId="816605259">
    <w:abstractNumId w:val="23"/>
  </w:num>
  <w:num w:numId="18" w16cid:durableId="957639811">
    <w:abstractNumId w:val="5"/>
  </w:num>
  <w:num w:numId="19" w16cid:durableId="895897683">
    <w:abstractNumId w:val="7"/>
  </w:num>
  <w:num w:numId="20" w16cid:durableId="544100241">
    <w:abstractNumId w:val="30"/>
  </w:num>
  <w:num w:numId="21" w16cid:durableId="452672417">
    <w:abstractNumId w:val="25"/>
  </w:num>
  <w:num w:numId="22" w16cid:durableId="736174432">
    <w:abstractNumId w:val="20"/>
  </w:num>
  <w:num w:numId="23" w16cid:durableId="2037073086">
    <w:abstractNumId w:val="28"/>
  </w:num>
  <w:num w:numId="24" w16cid:durableId="1717437028">
    <w:abstractNumId w:val="6"/>
  </w:num>
  <w:num w:numId="25" w16cid:durableId="1343975496">
    <w:abstractNumId w:val="4"/>
  </w:num>
  <w:num w:numId="26" w16cid:durableId="756561139">
    <w:abstractNumId w:val="12"/>
  </w:num>
  <w:num w:numId="27" w16cid:durableId="2075352716">
    <w:abstractNumId w:val="10"/>
  </w:num>
  <w:num w:numId="28" w16cid:durableId="921260787">
    <w:abstractNumId w:val="3"/>
  </w:num>
  <w:num w:numId="29" w16cid:durableId="1665284224">
    <w:abstractNumId w:val="14"/>
  </w:num>
  <w:num w:numId="30" w16cid:durableId="645091442">
    <w:abstractNumId w:val="9"/>
  </w:num>
  <w:num w:numId="31" w16cid:durableId="446772857">
    <w:abstractNumId w:val="1"/>
  </w:num>
  <w:num w:numId="32" w16cid:durableId="35712046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25C9"/>
    <w:rsid w:val="0002289F"/>
    <w:rsid w:val="00024AB0"/>
    <w:rsid w:val="00025818"/>
    <w:rsid w:val="00036FF9"/>
    <w:rsid w:val="00044F50"/>
    <w:rsid w:val="000674B7"/>
    <w:rsid w:val="00084A9E"/>
    <w:rsid w:val="00087DB1"/>
    <w:rsid w:val="00091100"/>
    <w:rsid w:val="000A52F4"/>
    <w:rsid w:val="000A78D6"/>
    <w:rsid w:val="000C0CD0"/>
    <w:rsid w:val="000D0D7E"/>
    <w:rsid w:val="000D1BAA"/>
    <w:rsid w:val="000D20CC"/>
    <w:rsid w:val="000D63FE"/>
    <w:rsid w:val="000F2B22"/>
    <w:rsid w:val="000F4BA5"/>
    <w:rsid w:val="001224E4"/>
    <w:rsid w:val="00123C17"/>
    <w:rsid w:val="00123F66"/>
    <w:rsid w:val="00147453"/>
    <w:rsid w:val="00160A18"/>
    <w:rsid w:val="00170454"/>
    <w:rsid w:val="001747D6"/>
    <w:rsid w:val="00175614"/>
    <w:rsid w:val="00182E18"/>
    <w:rsid w:val="0018415B"/>
    <w:rsid w:val="00193780"/>
    <w:rsid w:val="001A52C7"/>
    <w:rsid w:val="001A5A18"/>
    <w:rsid w:val="001B2B13"/>
    <w:rsid w:val="001B6A2D"/>
    <w:rsid w:val="001C71EA"/>
    <w:rsid w:val="001E6AB2"/>
    <w:rsid w:val="001E71EB"/>
    <w:rsid w:val="00203503"/>
    <w:rsid w:val="002036C5"/>
    <w:rsid w:val="0020611B"/>
    <w:rsid w:val="002073BF"/>
    <w:rsid w:val="002252E8"/>
    <w:rsid w:val="00230580"/>
    <w:rsid w:val="002355A7"/>
    <w:rsid w:val="00242DEA"/>
    <w:rsid w:val="00257F09"/>
    <w:rsid w:val="00261858"/>
    <w:rsid w:val="00265191"/>
    <w:rsid w:val="00280B57"/>
    <w:rsid w:val="0028141F"/>
    <w:rsid w:val="00291EED"/>
    <w:rsid w:val="00294389"/>
    <w:rsid w:val="002A238A"/>
    <w:rsid w:val="002C19FA"/>
    <w:rsid w:val="002E3655"/>
    <w:rsid w:val="00301103"/>
    <w:rsid w:val="003035C7"/>
    <w:rsid w:val="00305480"/>
    <w:rsid w:val="00331514"/>
    <w:rsid w:val="00335153"/>
    <w:rsid w:val="003352FE"/>
    <w:rsid w:val="003369C4"/>
    <w:rsid w:val="00340625"/>
    <w:rsid w:val="00343DFB"/>
    <w:rsid w:val="00345B79"/>
    <w:rsid w:val="00345D57"/>
    <w:rsid w:val="00351AE7"/>
    <w:rsid w:val="00364BDB"/>
    <w:rsid w:val="00367862"/>
    <w:rsid w:val="00381F5B"/>
    <w:rsid w:val="00384BCE"/>
    <w:rsid w:val="0038594D"/>
    <w:rsid w:val="0038624E"/>
    <w:rsid w:val="003864FA"/>
    <w:rsid w:val="003A19BC"/>
    <w:rsid w:val="003A2DAE"/>
    <w:rsid w:val="003C3F7D"/>
    <w:rsid w:val="003D0506"/>
    <w:rsid w:val="003D30DB"/>
    <w:rsid w:val="003D3F51"/>
    <w:rsid w:val="003E1666"/>
    <w:rsid w:val="003E47F1"/>
    <w:rsid w:val="003F0EA6"/>
    <w:rsid w:val="00403A01"/>
    <w:rsid w:val="00405A8F"/>
    <w:rsid w:val="00405D10"/>
    <w:rsid w:val="00414CD2"/>
    <w:rsid w:val="004239C6"/>
    <w:rsid w:val="00424EE4"/>
    <w:rsid w:val="00425599"/>
    <w:rsid w:val="00440862"/>
    <w:rsid w:val="00441981"/>
    <w:rsid w:val="004513EF"/>
    <w:rsid w:val="00454DD4"/>
    <w:rsid w:val="00462C9F"/>
    <w:rsid w:val="004745EA"/>
    <w:rsid w:val="00475121"/>
    <w:rsid w:val="00493B26"/>
    <w:rsid w:val="00497630"/>
    <w:rsid w:val="004A4073"/>
    <w:rsid w:val="004A5C6A"/>
    <w:rsid w:val="004B0364"/>
    <w:rsid w:val="004C2A2B"/>
    <w:rsid w:val="004D0D1C"/>
    <w:rsid w:val="004D2156"/>
    <w:rsid w:val="004D7135"/>
    <w:rsid w:val="004F063B"/>
    <w:rsid w:val="004F0B6F"/>
    <w:rsid w:val="004F7DF9"/>
    <w:rsid w:val="005030E9"/>
    <w:rsid w:val="0050499D"/>
    <w:rsid w:val="0050578D"/>
    <w:rsid w:val="005066B0"/>
    <w:rsid w:val="00507268"/>
    <w:rsid w:val="0051403E"/>
    <w:rsid w:val="00533017"/>
    <w:rsid w:val="005372F1"/>
    <w:rsid w:val="00542A2C"/>
    <w:rsid w:val="00544E52"/>
    <w:rsid w:val="0056173F"/>
    <w:rsid w:val="00566A9E"/>
    <w:rsid w:val="00574721"/>
    <w:rsid w:val="00581055"/>
    <w:rsid w:val="00592538"/>
    <w:rsid w:val="00593EEB"/>
    <w:rsid w:val="005A06EA"/>
    <w:rsid w:val="005A5AF2"/>
    <w:rsid w:val="005C4DA3"/>
    <w:rsid w:val="005C75B4"/>
    <w:rsid w:val="005D31FB"/>
    <w:rsid w:val="005D4AEB"/>
    <w:rsid w:val="005D5B55"/>
    <w:rsid w:val="005E40F5"/>
    <w:rsid w:val="005E5826"/>
    <w:rsid w:val="005F05C3"/>
    <w:rsid w:val="005F3475"/>
    <w:rsid w:val="005F4D68"/>
    <w:rsid w:val="00610E7C"/>
    <w:rsid w:val="0061668B"/>
    <w:rsid w:val="00616C4F"/>
    <w:rsid w:val="00635C53"/>
    <w:rsid w:val="00636AB6"/>
    <w:rsid w:val="00642E6A"/>
    <w:rsid w:val="0065030F"/>
    <w:rsid w:val="006771EA"/>
    <w:rsid w:val="00682A54"/>
    <w:rsid w:val="00686D2A"/>
    <w:rsid w:val="0069024D"/>
    <w:rsid w:val="00693A1A"/>
    <w:rsid w:val="006943EA"/>
    <w:rsid w:val="00695889"/>
    <w:rsid w:val="00695DEB"/>
    <w:rsid w:val="006A2D6F"/>
    <w:rsid w:val="006A6461"/>
    <w:rsid w:val="006C07EB"/>
    <w:rsid w:val="006D6B7B"/>
    <w:rsid w:val="006D6FCB"/>
    <w:rsid w:val="006E02D3"/>
    <w:rsid w:val="006E0408"/>
    <w:rsid w:val="006E4E36"/>
    <w:rsid w:val="006F0366"/>
    <w:rsid w:val="006F5D2F"/>
    <w:rsid w:val="00702638"/>
    <w:rsid w:val="00703A7B"/>
    <w:rsid w:val="00731726"/>
    <w:rsid w:val="00732CCD"/>
    <w:rsid w:val="0073470E"/>
    <w:rsid w:val="0073703E"/>
    <w:rsid w:val="007402B6"/>
    <w:rsid w:val="00741251"/>
    <w:rsid w:val="00745D31"/>
    <w:rsid w:val="00747689"/>
    <w:rsid w:val="00751111"/>
    <w:rsid w:val="00766B69"/>
    <w:rsid w:val="007706CA"/>
    <w:rsid w:val="00776DCB"/>
    <w:rsid w:val="00776FE6"/>
    <w:rsid w:val="00777481"/>
    <w:rsid w:val="007861BA"/>
    <w:rsid w:val="00786213"/>
    <w:rsid w:val="00790884"/>
    <w:rsid w:val="00794344"/>
    <w:rsid w:val="00795967"/>
    <w:rsid w:val="007B253B"/>
    <w:rsid w:val="007D008B"/>
    <w:rsid w:val="007D344D"/>
    <w:rsid w:val="007D54D6"/>
    <w:rsid w:val="007D5857"/>
    <w:rsid w:val="00810206"/>
    <w:rsid w:val="0081091B"/>
    <w:rsid w:val="008146FD"/>
    <w:rsid w:val="0081774C"/>
    <w:rsid w:val="00820D80"/>
    <w:rsid w:val="00830F3F"/>
    <w:rsid w:val="00832B98"/>
    <w:rsid w:val="00832DB0"/>
    <w:rsid w:val="008378E8"/>
    <w:rsid w:val="008459E6"/>
    <w:rsid w:val="00854088"/>
    <w:rsid w:val="0087539C"/>
    <w:rsid w:val="0088057A"/>
    <w:rsid w:val="00880DD6"/>
    <w:rsid w:val="00880FEF"/>
    <w:rsid w:val="00881DE3"/>
    <w:rsid w:val="00887711"/>
    <w:rsid w:val="00890751"/>
    <w:rsid w:val="008952F2"/>
    <w:rsid w:val="008A4517"/>
    <w:rsid w:val="008C3580"/>
    <w:rsid w:val="008C6F9B"/>
    <w:rsid w:val="008C6FA9"/>
    <w:rsid w:val="008D27DF"/>
    <w:rsid w:val="008E179F"/>
    <w:rsid w:val="008E3C69"/>
    <w:rsid w:val="008E72A6"/>
    <w:rsid w:val="009143BA"/>
    <w:rsid w:val="00932FF7"/>
    <w:rsid w:val="0093305E"/>
    <w:rsid w:val="00940ED1"/>
    <w:rsid w:val="00941425"/>
    <w:rsid w:val="009455D5"/>
    <w:rsid w:val="009521E3"/>
    <w:rsid w:val="00954313"/>
    <w:rsid w:val="009553F2"/>
    <w:rsid w:val="00955813"/>
    <w:rsid w:val="00963ED0"/>
    <w:rsid w:val="00972E90"/>
    <w:rsid w:val="009742CF"/>
    <w:rsid w:val="00983366"/>
    <w:rsid w:val="0098472F"/>
    <w:rsid w:val="009A1BBD"/>
    <w:rsid w:val="009A7161"/>
    <w:rsid w:val="009B6C29"/>
    <w:rsid w:val="009B7219"/>
    <w:rsid w:val="009D7ABE"/>
    <w:rsid w:val="009E1808"/>
    <w:rsid w:val="009F40CC"/>
    <w:rsid w:val="00A0365B"/>
    <w:rsid w:val="00A055C2"/>
    <w:rsid w:val="00A1476A"/>
    <w:rsid w:val="00A169F5"/>
    <w:rsid w:val="00A24B81"/>
    <w:rsid w:val="00A34651"/>
    <w:rsid w:val="00A41D8F"/>
    <w:rsid w:val="00A43155"/>
    <w:rsid w:val="00A46F61"/>
    <w:rsid w:val="00A502EE"/>
    <w:rsid w:val="00A521A0"/>
    <w:rsid w:val="00A579EE"/>
    <w:rsid w:val="00A74615"/>
    <w:rsid w:val="00A752F0"/>
    <w:rsid w:val="00A84F49"/>
    <w:rsid w:val="00A95B08"/>
    <w:rsid w:val="00AA21EB"/>
    <w:rsid w:val="00AA43FC"/>
    <w:rsid w:val="00AA6CC5"/>
    <w:rsid w:val="00AB44D1"/>
    <w:rsid w:val="00AD163A"/>
    <w:rsid w:val="00AD47EE"/>
    <w:rsid w:val="00AE0515"/>
    <w:rsid w:val="00AE3D31"/>
    <w:rsid w:val="00B03769"/>
    <w:rsid w:val="00B10ED0"/>
    <w:rsid w:val="00B343A7"/>
    <w:rsid w:val="00B4777B"/>
    <w:rsid w:val="00B5660E"/>
    <w:rsid w:val="00B63DBB"/>
    <w:rsid w:val="00B653BC"/>
    <w:rsid w:val="00B8084B"/>
    <w:rsid w:val="00B86D1B"/>
    <w:rsid w:val="00B96F8C"/>
    <w:rsid w:val="00BA0B3E"/>
    <w:rsid w:val="00BA30FC"/>
    <w:rsid w:val="00BA515F"/>
    <w:rsid w:val="00BB5706"/>
    <w:rsid w:val="00BC2547"/>
    <w:rsid w:val="00BE4FF7"/>
    <w:rsid w:val="00BE5233"/>
    <w:rsid w:val="00BE7143"/>
    <w:rsid w:val="00BF6506"/>
    <w:rsid w:val="00C014A1"/>
    <w:rsid w:val="00C13464"/>
    <w:rsid w:val="00C14C4C"/>
    <w:rsid w:val="00C22592"/>
    <w:rsid w:val="00C34644"/>
    <w:rsid w:val="00C3510F"/>
    <w:rsid w:val="00C43C89"/>
    <w:rsid w:val="00C45054"/>
    <w:rsid w:val="00C50A43"/>
    <w:rsid w:val="00C51054"/>
    <w:rsid w:val="00C51E00"/>
    <w:rsid w:val="00C845F3"/>
    <w:rsid w:val="00C91E26"/>
    <w:rsid w:val="00C9615F"/>
    <w:rsid w:val="00CA11D5"/>
    <w:rsid w:val="00CB0E33"/>
    <w:rsid w:val="00CB2105"/>
    <w:rsid w:val="00CB46D4"/>
    <w:rsid w:val="00CB5035"/>
    <w:rsid w:val="00CB548B"/>
    <w:rsid w:val="00CC2745"/>
    <w:rsid w:val="00CD0651"/>
    <w:rsid w:val="00CD53FA"/>
    <w:rsid w:val="00CE2231"/>
    <w:rsid w:val="00CE46BB"/>
    <w:rsid w:val="00CF62AF"/>
    <w:rsid w:val="00D03D57"/>
    <w:rsid w:val="00D064B9"/>
    <w:rsid w:val="00D11059"/>
    <w:rsid w:val="00D15589"/>
    <w:rsid w:val="00D15CBA"/>
    <w:rsid w:val="00D21A60"/>
    <w:rsid w:val="00D25F75"/>
    <w:rsid w:val="00D3084C"/>
    <w:rsid w:val="00D33AB3"/>
    <w:rsid w:val="00D47D24"/>
    <w:rsid w:val="00D53D95"/>
    <w:rsid w:val="00D60689"/>
    <w:rsid w:val="00D60778"/>
    <w:rsid w:val="00D63336"/>
    <w:rsid w:val="00D63DAE"/>
    <w:rsid w:val="00D84FB9"/>
    <w:rsid w:val="00D91F60"/>
    <w:rsid w:val="00D96343"/>
    <w:rsid w:val="00D97A72"/>
    <w:rsid w:val="00DC061D"/>
    <w:rsid w:val="00DC4123"/>
    <w:rsid w:val="00DC6E12"/>
    <w:rsid w:val="00DD4A13"/>
    <w:rsid w:val="00DE0225"/>
    <w:rsid w:val="00DE2768"/>
    <w:rsid w:val="00E12F95"/>
    <w:rsid w:val="00E3008E"/>
    <w:rsid w:val="00E34F7F"/>
    <w:rsid w:val="00E37258"/>
    <w:rsid w:val="00E429CD"/>
    <w:rsid w:val="00E62DE5"/>
    <w:rsid w:val="00E6468C"/>
    <w:rsid w:val="00E7374A"/>
    <w:rsid w:val="00E833A6"/>
    <w:rsid w:val="00E972C2"/>
    <w:rsid w:val="00EA1243"/>
    <w:rsid w:val="00EA2790"/>
    <w:rsid w:val="00EB104E"/>
    <w:rsid w:val="00EB630F"/>
    <w:rsid w:val="00ED39C5"/>
    <w:rsid w:val="00EE5DED"/>
    <w:rsid w:val="00EE67D5"/>
    <w:rsid w:val="00EE701D"/>
    <w:rsid w:val="00EE73B2"/>
    <w:rsid w:val="00F10F3F"/>
    <w:rsid w:val="00F11C67"/>
    <w:rsid w:val="00F31298"/>
    <w:rsid w:val="00F31387"/>
    <w:rsid w:val="00F4103B"/>
    <w:rsid w:val="00F52602"/>
    <w:rsid w:val="00F57C90"/>
    <w:rsid w:val="00F70690"/>
    <w:rsid w:val="00F74EB0"/>
    <w:rsid w:val="00F97213"/>
    <w:rsid w:val="00FA0742"/>
    <w:rsid w:val="00FB05E9"/>
    <w:rsid w:val="00FB0C75"/>
    <w:rsid w:val="00FB6479"/>
    <w:rsid w:val="00FC3362"/>
    <w:rsid w:val="00FC4962"/>
    <w:rsid w:val="00FD6ABF"/>
    <w:rsid w:val="00FD6CC1"/>
    <w:rsid w:val="00FE5B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5AEEB7AC-F478-4673-A73F-E0445D5AD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A1476A"/>
    <w:rPr>
      <w:color w:val="605E5C"/>
      <w:shd w:val="clear" w:color="auto" w:fill="E1DFDD"/>
    </w:rPr>
  </w:style>
  <w:style w:type="character" w:styleId="FollowedHyperlink">
    <w:name w:val="FollowedHyperlink"/>
    <w:basedOn w:val="DefaultParagraphFont"/>
    <w:uiPriority w:val="99"/>
    <w:semiHidden/>
    <w:unhideWhenUsed/>
    <w:rsid w:val="00EB104E"/>
    <w:rPr>
      <w:color w:val="96607D" w:themeColor="followedHyperlink"/>
      <w:u w:val="single"/>
    </w:rPr>
  </w:style>
  <w:style w:type="paragraph" w:customStyle="1" w:styleId="marginalnote">
    <w:name w:val="marginalnote"/>
    <w:basedOn w:val="Normal"/>
    <w:rsid w:val="000225C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section">
    <w:name w:val="section"/>
    <w:basedOn w:val="Normal"/>
    <w:rsid w:val="000225C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ectionlabel">
    <w:name w:val="sectionlabel"/>
    <w:basedOn w:val="DefaultParagraphFont"/>
    <w:rsid w:val="000225C9"/>
  </w:style>
  <w:style w:type="character" w:customStyle="1" w:styleId="lawlabel">
    <w:name w:val="lawlabel"/>
    <w:basedOn w:val="DefaultParagraphFont"/>
    <w:rsid w:val="000225C9"/>
  </w:style>
  <w:style w:type="paragraph" w:customStyle="1" w:styleId="continuedsectionsubsection">
    <w:name w:val="continuedsectionsubsection"/>
    <w:basedOn w:val="Normal"/>
    <w:rsid w:val="000225C9"/>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628712">
      <w:bodyDiv w:val="1"/>
      <w:marLeft w:val="0"/>
      <w:marRight w:val="0"/>
      <w:marTop w:val="0"/>
      <w:marBottom w:val="0"/>
      <w:divBdr>
        <w:top w:val="none" w:sz="0" w:space="0" w:color="auto"/>
        <w:left w:val="none" w:sz="0" w:space="0" w:color="auto"/>
        <w:bottom w:val="none" w:sz="0" w:space="0" w:color="auto"/>
        <w:right w:val="none" w:sz="0" w:space="0" w:color="auto"/>
      </w:divBdr>
    </w:div>
    <w:div w:id="162360129">
      <w:bodyDiv w:val="1"/>
      <w:marLeft w:val="0"/>
      <w:marRight w:val="0"/>
      <w:marTop w:val="0"/>
      <w:marBottom w:val="0"/>
      <w:divBdr>
        <w:top w:val="none" w:sz="0" w:space="0" w:color="auto"/>
        <w:left w:val="none" w:sz="0" w:space="0" w:color="auto"/>
        <w:bottom w:val="none" w:sz="0" w:space="0" w:color="auto"/>
        <w:right w:val="none" w:sz="0" w:space="0" w:color="auto"/>
      </w:divBdr>
      <w:divsChild>
        <w:div w:id="160968573">
          <w:marLeft w:val="0"/>
          <w:marRight w:val="0"/>
          <w:marTop w:val="0"/>
          <w:marBottom w:val="0"/>
          <w:divBdr>
            <w:top w:val="none" w:sz="0" w:space="0" w:color="auto"/>
            <w:left w:val="none" w:sz="0" w:space="0" w:color="auto"/>
            <w:bottom w:val="none" w:sz="0" w:space="0" w:color="auto"/>
            <w:right w:val="none" w:sz="0" w:space="0" w:color="auto"/>
          </w:divBdr>
        </w:div>
        <w:div w:id="1553690439">
          <w:marLeft w:val="0"/>
          <w:marRight w:val="0"/>
          <w:marTop w:val="0"/>
          <w:marBottom w:val="0"/>
          <w:divBdr>
            <w:top w:val="none" w:sz="0" w:space="0" w:color="auto"/>
            <w:left w:val="none" w:sz="0" w:space="0" w:color="auto"/>
            <w:bottom w:val="none" w:sz="0" w:space="0" w:color="auto"/>
            <w:right w:val="none" w:sz="0" w:space="0" w:color="auto"/>
          </w:divBdr>
        </w:div>
        <w:div w:id="249511786">
          <w:marLeft w:val="0"/>
          <w:marRight w:val="0"/>
          <w:marTop w:val="0"/>
          <w:marBottom w:val="0"/>
          <w:divBdr>
            <w:top w:val="none" w:sz="0" w:space="0" w:color="auto"/>
            <w:left w:val="none" w:sz="0" w:space="0" w:color="auto"/>
            <w:bottom w:val="none" w:sz="0" w:space="0" w:color="auto"/>
            <w:right w:val="none" w:sz="0" w:space="0" w:color="auto"/>
          </w:divBdr>
        </w:div>
        <w:div w:id="1864324230">
          <w:marLeft w:val="0"/>
          <w:marRight w:val="0"/>
          <w:marTop w:val="0"/>
          <w:marBottom w:val="0"/>
          <w:divBdr>
            <w:top w:val="none" w:sz="0" w:space="0" w:color="auto"/>
            <w:left w:val="none" w:sz="0" w:space="0" w:color="auto"/>
            <w:bottom w:val="none" w:sz="0" w:space="0" w:color="auto"/>
            <w:right w:val="none" w:sz="0" w:space="0" w:color="auto"/>
          </w:divBdr>
        </w:div>
        <w:div w:id="734936442">
          <w:marLeft w:val="0"/>
          <w:marRight w:val="0"/>
          <w:marTop w:val="0"/>
          <w:marBottom w:val="0"/>
          <w:divBdr>
            <w:top w:val="none" w:sz="0" w:space="0" w:color="auto"/>
            <w:left w:val="none" w:sz="0" w:space="0" w:color="auto"/>
            <w:bottom w:val="none" w:sz="0" w:space="0" w:color="auto"/>
            <w:right w:val="none" w:sz="0" w:space="0" w:color="auto"/>
          </w:divBdr>
        </w:div>
        <w:div w:id="375588744">
          <w:marLeft w:val="0"/>
          <w:marRight w:val="0"/>
          <w:marTop w:val="0"/>
          <w:marBottom w:val="0"/>
          <w:divBdr>
            <w:top w:val="none" w:sz="0" w:space="0" w:color="auto"/>
            <w:left w:val="none" w:sz="0" w:space="0" w:color="auto"/>
            <w:bottom w:val="none" w:sz="0" w:space="0" w:color="auto"/>
            <w:right w:val="none" w:sz="0" w:space="0" w:color="auto"/>
          </w:divBdr>
        </w:div>
      </w:divsChild>
    </w:div>
    <w:div w:id="200748027">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10073496">
      <w:bodyDiv w:val="1"/>
      <w:marLeft w:val="0"/>
      <w:marRight w:val="0"/>
      <w:marTop w:val="0"/>
      <w:marBottom w:val="0"/>
      <w:divBdr>
        <w:top w:val="none" w:sz="0" w:space="0" w:color="auto"/>
        <w:left w:val="none" w:sz="0" w:space="0" w:color="auto"/>
        <w:bottom w:val="none" w:sz="0" w:space="0" w:color="auto"/>
        <w:right w:val="none" w:sz="0" w:space="0" w:color="auto"/>
      </w:divBdr>
    </w:div>
    <w:div w:id="212741672">
      <w:bodyDiv w:val="1"/>
      <w:marLeft w:val="0"/>
      <w:marRight w:val="0"/>
      <w:marTop w:val="0"/>
      <w:marBottom w:val="0"/>
      <w:divBdr>
        <w:top w:val="none" w:sz="0" w:space="0" w:color="auto"/>
        <w:left w:val="none" w:sz="0" w:space="0" w:color="auto"/>
        <w:bottom w:val="none" w:sz="0" w:space="0" w:color="auto"/>
        <w:right w:val="none" w:sz="0" w:space="0" w:color="auto"/>
      </w:divBdr>
      <w:divsChild>
        <w:div w:id="596402606">
          <w:marLeft w:val="0"/>
          <w:marRight w:val="0"/>
          <w:marTop w:val="0"/>
          <w:marBottom w:val="0"/>
          <w:divBdr>
            <w:top w:val="none" w:sz="0" w:space="0" w:color="auto"/>
            <w:left w:val="none" w:sz="0" w:space="0" w:color="auto"/>
            <w:bottom w:val="none" w:sz="0" w:space="0" w:color="auto"/>
            <w:right w:val="none" w:sz="0" w:space="0" w:color="auto"/>
          </w:divBdr>
        </w:div>
        <w:div w:id="2093115363">
          <w:marLeft w:val="0"/>
          <w:marRight w:val="0"/>
          <w:marTop w:val="0"/>
          <w:marBottom w:val="0"/>
          <w:divBdr>
            <w:top w:val="none" w:sz="0" w:space="0" w:color="auto"/>
            <w:left w:val="none" w:sz="0" w:space="0" w:color="auto"/>
            <w:bottom w:val="none" w:sz="0" w:space="0" w:color="auto"/>
            <w:right w:val="none" w:sz="0" w:space="0" w:color="auto"/>
          </w:divBdr>
        </w:div>
        <w:div w:id="124322906">
          <w:marLeft w:val="0"/>
          <w:marRight w:val="0"/>
          <w:marTop w:val="0"/>
          <w:marBottom w:val="0"/>
          <w:divBdr>
            <w:top w:val="none" w:sz="0" w:space="0" w:color="auto"/>
            <w:left w:val="none" w:sz="0" w:space="0" w:color="auto"/>
            <w:bottom w:val="none" w:sz="0" w:space="0" w:color="auto"/>
            <w:right w:val="none" w:sz="0" w:space="0" w:color="auto"/>
          </w:divBdr>
        </w:div>
        <w:div w:id="192159395">
          <w:marLeft w:val="0"/>
          <w:marRight w:val="0"/>
          <w:marTop w:val="0"/>
          <w:marBottom w:val="0"/>
          <w:divBdr>
            <w:top w:val="none" w:sz="0" w:space="0" w:color="auto"/>
            <w:left w:val="none" w:sz="0" w:space="0" w:color="auto"/>
            <w:bottom w:val="none" w:sz="0" w:space="0" w:color="auto"/>
            <w:right w:val="none" w:sz="0" w:space="0" w:color="auto"/>
          </w:divBdr>
        </w:div>
        <w:div w:id="1858150214">
          <w:marLeft w:val="0"/>
          <w:marRight w:val="0"/>
          <w:marTop w:val="0"/>
          <w:marBottom w:val="0"/>
          <w:divBdr>
            <w:top w:val="none" w:sz="0" w:space="0" w:color="auto"/>
            <w:left w:val="none" w:sz="0" w:space="0" w:color="auto"/>
            <w:bottom w:val="none" w:sz="0" w:space="0" w:color="auto"/>
            <w:right w:val="none" w:sz="0" w:space="0" w:color="auto"/>
          </w:divBdr>
        </w:div>
        <w:div w:id="1263757772">
          <w:marLeft w:val="0"/>
          <w:marRight w:val="0"/>
          <w:marTop w:val="0"/>
          <w:marBottom w:val="0"/>
          <w:divBdr>
            <w:top w:val="none" w:sz="0" w:space="0" w:color="auto"/>
            <w:left w:val="none" w:sz="0" w:space="0" w:color="auto"/>
            <w:bottom w:val="none" w:sz="0" w:space="0" w:color="auto"/>
            <w:right w:val="none" w:sz="0" w:space="0" w:color="auto"/>
          </w:divBdr>
        </w:div>
        <w:div w:id="1319193821">
          <w:marLeft w:val="0"/>
          <w:marRight w:val="0"/>
          <w:marTop w:val="0"/>
          <w:marBottom w:val="0"/>
          <w:divBdr>
            <w:top w:val="none" w:sz="0" w:space="0" w:color="auto"/>
            <w:left w:val="none" w:sz="0" w:space="0" w:color="auto"/>
            <w:bottom w:val="none" w:sz="0" w:space="0" w:color="auto"/>
            <w:right w:val="none" w:sz="0" w:space="0" w:color="auto"/>
          </w:divBdr>
        </w:div>
        <w:div w:id="1427536441">
          <w:marLeft w:val="0"/>
          <w:marRight w:val="0"/>
          <w:marTop w:val="0"/>
          <w:marBottom w:val="0"/>
          <w:divBdr>
            <w:top w:val="none" w:sz="0" w:space="0" w:color="auto"/>
            <w:left w:val="none" w:sz="0" w:space="0" w:color="auto"/>
            <w:bottom w:val="none" w:sz="0" w:space="0" w:color="auto"/>
            <w:right w:val="none" w:sz="0" w:space="0" w:color="auto"/>
          </w:divBdr>
        </w:div>
        <w:div w:id="66995278">
          <w:marLeft w:val="0"/>
          <w:marRight w:val="0"/>
          <w:marTop w:val="0"/>
          <w:marBottom w:val="0"/>
          <w:divBdr>
            <w:top w:val="none" w:sz="0" w:space="0" w:color="auto"/>
            <w:left w:val="none" w:sz="0" w:space="0" w:color="auto"/>
            <w:bottom w:val="none" w:sz="0" w:space="0" w:color="auto"/>
            <w:right w:val="none" w:sz="0" w:space="0" w:color="auto"/>
          </w:divBdr>
        </w:div>
        <w:div w:id="2109305178">
          <w:marLeft w:val="0"/>
          <w:marRight w:val="0"/>
          <w:marTop w:val="0"/>
          <w:marBottom w:val="0"/>
          <w:divBdr>
            <w:top w:val="none" w:sz="0" w:space="0" w:color="auto"/>
            <w:left w:val="none" w:sz="0" w:space="0" w:color="auto"/>
            <w:bottom w:val="none" w:sz="0" w:space="0" w:color="auto"/>
            <w:right w:val="none" w:sz="0" w:space="0" w:color="auto"/>
          </w:divBdr>
        </w:div>
        <w:div w:id="563831032">
          <w:marLeft w:val="0"/>
          <w:marRight w:val="0"/>
          <w:marTop w:val="0"/>
          <w:marBottom w:val="0"/>
          <w:divBdr>
            <w:top w:val="none" w:sz="0" w:space="0" w:color="auto"/>
            <w:left w:val="none" w:sz="0" w:space="0" w:color="auto"/>
            <w:bottom w:val="none" w:sz="0" w:space="0" w:color="auto"/>
            <w:right w:val="none" w:sz="0" w:space="0" w:color="auto"/>
          </w:divBdr>
        </w:div>
        <w:div w:id="1045370070">
          <w:marLeft w:val="0"/>
          <w:marRight w:val="0"/>
          <w:marTop w:val="0"/>
          <w:marBottom w:val="0"/>
          <w:divBdr>
            <w:top w:val="none" w:sz="0" w:space="0" w:color="auto"/>
            <w:left w:val="none" w:sz="0" w:space="0" w:color="auto"/>
            <w:bottom w:val="none" w:sz="0" w:space="0" w:color="auto"/>
            <w:right w:val="none" w:sz="0" w:space="0" w:color="auto"/>
          </w:divBdr>
        </w:div>
        <w:div w:id="1613971486">
          <w:marLeft w:val="0"/>
          <w:marRight w:val="0"/>
          <w:marTop w:val="0"/>
          <w:marBottom w:val="0"/>
          <w:divBdr>
            <w:top w:val="none" w:sz="0" w:space="0" w:color="auto"/>
            <w:left w:val="none" w:sz="0" w:space="0" w:color="auto"/>
            <w:bottom w:val="none" w:sz="0" w:space="0" w:color="auto"/>
            <w:right w:val="none" w:sz="0" w:space="0" w:color="auto"/>
          </w:divBdr>
        </w:div>
        <w:div w:id="1542548807">
          <w:marLeft w:val="0"/>
          <w:marRight w:val="0"/>
          <w:marTop w:val="0"/>
          <w:marBottom w:val="0"/>
          <w:divBdr>
            <w:top w:val="none" w:sz="0" w:space="0" w:color="auto"/>
            <w:left w:val="none" w:sz="0" w:space="0" w:color="auto"/>
            <w:bottom w:val="none" w:sz="0" w:space="0" w:color="auto"/>
            <w:right w:val="none" w:sz="0" w:space="0" w:color="auto"/>
          </w:divBdr>
        </w:div>
        <w:div w:id="1657226876">
          <w:marLeft w:val="0"/>
          <w:marRight w:val="0"/>
          <w:marTop w:val="0"/>
          <w:marBottom w:val="0"/>
          <w:divBdr>
            <w:top w:val="none" w:sz="0" w:space="0" w:color="auto"/>
            <w:left w:val="none" w:sz="0" w:space="0" w:color="auto"/>
            <w:bottom w:val="none" w:sz="0" w:space="0" w:color="auto"/>
            <w:right w:val="none" w:sz="0" w:space="0" w:color="auto"/>
          </w:divBdr>
        </w:div>
        <w:div w:id="560409831">
          <w:marLeft w:val="0"/>
          <w:marRight w:val="0"/>
          <w:marTop w:val="0"/>
          <w:marBottom w:val="0"/>
          <w:divBdr>
            <w:top w:val="none" w:sz="0" w:space="0" w:color="auto"/>
            <w:left w:val="none" w:sz="0" w:space="0" w:color="auto"/>
            <w:bottom w:val="none" w:sz="0" w:space="0" w:color="auto"/>
            <w:right w:val="none" w:sz="0" w:space="0" w:color="auto"/>
          </w:divBdr>
        </w:div>
        <w:div w:id="799613832">
          <w:marLeft w:val="0"/>
          <w:marRight w:val="0"/>
          <w:marTop w:val="0"/>
          <w:marBottom w:val="0"/>
          <w:divBdr>
            <w:top w:val="none" w:sz="0" w:space="0" w:color="auto"/>
            <w:left w:val="none" w:sz="0" w:space="0" w:color="auto"/>
            <w:bottom w:val="none" w:sz="0" w:space="0" w:color="auto"/>
            <w:right w:val="none" w:sz="0" w:space="0" w:color="auto"/>
          </w:divBdr>
        </w:div>
        <w:div w:id="594283715">
          <w:marLeft w:val="0"/>
          <w:marRight w:val="0"/>
          <w:marTop w:val="0"/>
          <w:marBottom w:val="0"/>
          <w:divBdr>
            <w:top w:val="none" w:sz="0" w:space="0" w:color="auto"/>
            <w:left w:val="none" w:sz="0" w:space="0" w:color="auto"/>
            <w:bottom w:val="none" w:sz="0" w:space="0" w:color="auto"/>
            <w:right w:val="none" w:sz="0" w:space="0" w:color="auto"/>
          </w:divBdr>
        </w:div>
        <w:div w:id="759907504">
          <w:marLeft w:val="0"/>
          <w:marRight w:val="0"/>
          <w:marTop w:val="0"/>
          <w:marBottom w:val="0"/>
          <w:divBdr>
            <w:top w:val="none" w:sz="0" w:space="0" w:color="auto"/>
            <w:left w:val="none" w:sz="0" w:space="0" w:color="auto"/>
            <w:bottom w:val="none" w:sz="0" w:space="0" w:color="auto"/>
            <w:right w:val="none" w:sz="0" w:space="0" w:color="auto"/>
          </w:divBdr>
        </w:div>
        <w:div w:id="725489019">
          <w:marLeft w:val="0"/>
          <w:marRight w:val="0"/>
          <w:marTop w:val="0"/>
          <w:marBottom w:val="0"/>
          <w:divBdr>
            <w:top w:val="none" w:sz="0" w:space="0" w:color="auto"/>
            <w:left w:val="none" w:sz="0" w:space="0" w:color="auto"/>
            <w:bottom w:val="none" w:sz="0" w:space="0" w:color="auto"/>
            <w:right w:val="none" w:sz="0" w:space="0" w:color="auto"/>
          </w:divBdr>
        </w:div>
        <w:div w:id="206525058">
          <w:marLeft w:val="0"/>
          <w:marRight w:val="0"/>
          <w:marTop w:val="0"/>
          <w:marBottom w:val="0"/>
          <w:divBdr>
            <w:top w:val="none" w:sz="0" w:space="0" w:color="auto"/>
            <w:left w:val="none" w:sz="0" w:space="0" w:color="auto"/>
            <w:bottom w:val="none" w:sz="0" w:space="0" w:color="auto"/>
            <w:right w:val="none" w:sz="0" w:space="0" w:color="auto"/>
          </w:divBdr>
        </w:div>
        <w:div w:id="1648242685">
          <w:marLeft w:val="0"/>
          <w:marRight w:val="0"/>
          <w:marTop w:val="0"/>
          <w:marBottom w:val="0"/>
          <w:divBdr>
            <w:top w:val="none" w:sz="0" w:space="0" w:color="auto"/>
            <w:left w:val="none" w:sz="0" w:space="0" w:color="auto"/>
            <w:bottom w:val="none" w:sz="0" w:space="0" w:color="auto"/>
            <w:right w:val="none" w:sz="0" w:space="0" w:color="auto"/>
          </w:divBdr>
        </w:div>
        <w:div w:id="327367111">
          <w:marLeft w:val="0"/>
          <w:marRight w:val="0"/>
          <w:marTop w:val="0"/>
          <w:marBottom w:val="0"/>
          <w:divBdr>
            <w:top w:val="none" w:sz="0" w:space="0" w:color="auto"/>
            <w:left w:val="none" w:sz="0" w:space="0" w:color="auto"/>
            <w:bottom w:val="none" w:sz="0" w:space="0" w:color="auto"/>
            <w:right w:val="none" w:sz="0" w:space="0" w:color="auto"/>
          </w:divBdr>
        </w:div>
        <w:div w:id="512189722">
          <w:marLeft w:val="0"/>
          <w:marRight w:val="0"/>
          <w:marTop w:val="0"/>
          <w:marBottom w:val="0"/>
          <w:divBdr>
            <w:top w:val="none" w:sz="0" w:space="0" w:color="auto"/>
            <w:left w:val="none" w:sz="0" w:space="0" w:color="auto"/>
            <w:bottom w:val="none" w:sz="0" w:space="0" w:color="auto"/>
            <w:right w:val="none" w:sz="0" w:space="0" w:color="auto"/>
          </w:divBdr>
        </w:div>
        <w:div w:id="952829575">
          <w:marLeft w:val="0"/>
          <w:marRight w:val="0"/>
          <w:marTop w:val="0"/>
          <w:marBottom w:val="0"/>
          <w:divBdr>
            <w:top w:val="none" w:sz="0" w:space="0" w:color="auto"/>
            <w:left w:val="none" w:sz="0" w:space="0" w:color="auto"/>
            <w:bottom w:val="none" w:sz="0" w:space="0" w:color="auto"/>
            <w:right w:val="none" w:sz="0" w:space="0" w:color="auto"/>
          </w:divBdr>
        </w:div>
        <w:div w:id="1920823956">
          <w:marLeft w:val="0"/>
          <w:marRight w:val="0"/>
          <w:marTop w:val="0"/>
          <w:marBottom w:val="0"/>
          <w:divBdr>
            <w:top w:val="none" w:sz="0" w:space="0" w:color="auto"/>
            <w:left w:val="none" w:sz="0" w:space="0" w:color="auto"/>
            <w:bottom w:val="none" w:sz="0" w:space="0" w:color="auto"/>
            <w:right w:val="none" w:sz="0" w:space="0" w:color="auto"/>
          </w:divBdr>
        </w:div>
        <w:div w:id="880823038">
          <w:marLeft w:val="0"/>
          <w:marRight w:val="0"/>
          <w:marTop w:val="0"/>
          <w:marBottom w:val="0"/>
          <w:divBdr>
            <w:top w:val="none" w:sz="0" w:space="0" w:color="auto"/>
            <w:left w:val="none" w:sz="0" w:space="0" w:color="auto"/>
            <w:bottom w:val="none" w:sz="0" w:space="0" w:color="auto"/>
            <w:right w:val="none" w:sz="0" w:space="0" w:color="auto"/>
          </w:divBdr>
        </w:div>
        <w:div w:id="2135825190">
          <w:marLeft w:val="0"/>
          <w:marRight w:val="0"/>
          <w:marTop w:val="0"/>
          <w:marBottom w:val="0"/>
          <w:divBdr>
            <w:top w:val="none" w:sz="0" w:space="0" w:color="auto"/>
            <w:left w:val="none" w:sz="0" w:space="0" w:color="auto"/>
            <w:bottom w:val="none" w:sz="0" w:space="0" w:color="auto"/>
            <w:right w:val="none" w:sz="0" w:space="0" w:color="auto"/>
          </w:divBdr>
        </w:div>
        <w:div w:id="191383973">
          <w:marLeft w:val="0"/>
          <w:marRight w:val="0"/>
          <w:marTop w:val="0"/>
          <w:marBottom w:val="0"/>
          <w:divBdr>
            <w:top w:val="none" w:sz="0" w:space="0" w:color="auto"/>
            <w:left w:val="none" w:sz="0" w:space="0" w:color="auto"/>
            <w:bottom w:val="none" w:sz="0" w:space="0" w:color="auto"/>
            <w:right w:val="none" w:sz="0" w:space="0" w:color="auto"/>
          </w:divBdr>
        </w:div>
        <w:div w:id="1263807204">
          <w:marLeft w:val="0"/>
          <w:marRight w:val="0"/>
          <w:marTop w:val="0"/>
          <w:marBottom w:val="0"/>
          <w:divBdr>
            <w:top w:val="none" w:sz="0" w:space="0" w:color="auto"/>
            <w:left w:val="none" w:sz="0" w:space="0" w:color="auto"/>
            <w:bottom w:val="none" w:sz="0" w:space="0" w:color="auto"/>
            <w:right w:val="none" w:sz="0" w:space="0" w:color="auto"/>
          </w:divBdr>
        </w:div>
      </w:divsChild>
    </w:div>
    <w:div w:id="313291222">
      <w:bodyDiv w:val="1"/>
      <w:marLeft w:val="0"/>
      <w:marRight w:val="0"/>
      <w:marTop w:val="0"/>
      <w:marBottom w:val="0"/>
      <w:divBdr>
        <w:top w:val="none" w:sz="0" w:space="0" w:color="auto"/>
        <w:left w:val="none" w:sz="0" w:space="0" w:color="auto"/>
        <w:bottom w:val="none" w:sz="0" w:space="0" w:color="auto"/>
        <w:right w:val="none" w:sz="0" w:space="0" w:color="auto"/>
      </w:divBdr>
    </w:div>
    <w:div w:id="664019393">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444735516">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 w:id="1080836325">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sChild>
    </w:div>
    <w:div w:id="777335977">
      <w:bodyDiv w:val="1"/>
      <w:marLeft w:val="0"/>
      <w:marRight w:val="0"/>
      <w:marTop w:val="0"/>
      <w:marBottom w:val="0"/>
      <w:divBdr>
        <w:top w:val="none" w:sz="0" w:space="0" w:color="auto"/>
        <w:left w:val="none" w:sz="0" w:space="0" w:color="auto"/>
        <w:bottom w:val="none" w:sz="0" w:space="0" w:color="auto"/>
        <w:right w:val="none" w:sz="0" w:space="0" w:color="auto"/>
      </w:divBdr>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sChild>
    </w:div>
    <w:div w:id="1340885774">
      <w:bodyDiv w:val="1"/>
      <w:marLeft w:val="0"/>
      <w:marRight w:val="0"/>
      <w:marTop w:val="0"/>
      <w:marBottom w:val="0"/>
      <w:divBdr>
        <w:top w:val="none" w:sz="0" w:space="0" w:color="auto"/>
        <w:left w:val="none" w:sz="0" w:space="0" w:color="auto"/>
        <w:bottom w:val="none" w:sz="0" w:space="0" w:color="auto"/>
        <w:right w:val="none" w:sz="0" w:space="0" w:color="auto"/>
      </w:divBdr>
    </w:div>
    <w:div w:id="1437478213">
      <w:bodyDiv w:val="1"/>
      <w:marLeft w:val="0"/>
      <w:marRight w:val="0"/>
      <w:marTop w:val="0"/>
      <w:marBottom w:val="0"/>
      <w:divBdr>
        <w:top w:val="none" w:sz="0" w:space="0" w:color="auto"/>
        <w:left w:val="none" w:sz="0" w:space="0" w:color="auto"/>
        <w:bottom w:val="none" w:sz="0" w:space="0" w:color="auto"/>
        <w:right w:val="none" w:sz="0" w:space="0" w:color="auto"/>
      </w:divBdr>
    </w:div>
    <w:div w:id="1476945723">
      <w:bodyDiv w:val="1"/>
      <w:marLeft w:val="0"/>
      <w:marRight w:val="0"/>
      <w:marTop w:val="0"/>
      <w:marBottom w:val="0"/>
      <w:divBdr>
        <w:top w:val="none" w:sz="0" w:space="0" w:color="auto"/>
        <w:left w:val="none" w:sz="0" w:space="0" w:color="auto"/>
        <w:bottom w:val="none" w:sz="0" w:space="0" w:color="auto"/>
        <w:right w:val="none" w:sz="0" w:space="0" w:color="auto"/>
      </w:divBdr>
    </w:div>
    <w:div w:id="1657802746">
      <w:bodyDiv w:val="1"/>
      <w:marLeft w:val="0"/>
      <w:marRight w:val="0"/>
      <w:marTop w:val="0"/>
      <w:marBottom w:val="0"/>
      <w:divBdr>
        <w:top w:val="none" w:sz="0" w:space="0" w:color="auto"/>
        <w:left w:val="none" w:sz="0" w:space="0" w:color="auto"/>
        <w:bottom w:val="none" w:sz="0" w:space="0" w:color="auto"/>
        <w:right w:val="none" w:sz="0" w:space="0" w:color="auto"/>
      </w:divBdr>
    </w:div>
    <w:div w:id="1879777854">
      <w:bodyDiv w:val="1"/>
      <w:marLeft w:val="0"/>
      <w:marRight w:val="0"/>
      <w:marTop w:val="0"/>
      <w:marBottom w:val="0"/>
      <w:divBdr>
        <w:top w:val="none" w:sz="0" w:space="0" w:color="auto"/>
        <w:left w:val="none" w:sz="0" w:space="0" w:color="auto"/>
        <w:bottom w:val="none" w:sz="0" w:space="0" w:color="auto"/>
        <w:right w:val="none" w:sz="0" w:space="0" w:color="auto"/>
      </w:divBdr>
    </w:div>
    <w:div w:id="203013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adstandards.ca/code/the-code-online/" TargetMode="External"/><Relationship Id="rId21" Type="http://schemas.openxmlformats.org/officeDocument/2006/relationships/hyperlink" Target="https://practiceguides.chambers.com/practice-guides/advertising-marketing-2023/canada" TargetMode="External"/><Relationship Id="rId42" Type="http://schemas.openxmlformats.org/officeDocument/2006/relationships/hyperlink" Target="https://adstandards.ca/" TargetMode="External"/><Relationship Id="rId63" Type="http://schemas.openxmlformats.org/officeDocument/2006/relationships/hyperlink" Target="https://adstandards.ca/" TargetMode="External"/><Relationship Id="rId84" Type="http://schemas.openxmlformats.org/officeDocument/2006/relationships/hyperlink" Target="https://adstandards.ca/wp-content/uploads/2019/10/Standards-Council-Organization-and-Procedure-2019.pdf" TargetMode="External"/><Relationship Id="rId138" Type="http://schemas.openxmlformats.org/officeDocument/2006/relationships/hyperlink" Target="https://crtc.gc.ca/eng/home-accueil.htm" TargetMode="External"/><Relationship Id="rId159" Type="http://schemas.openxmlformats.org/officeDocument/2006/relationships/hyperlink" Target="https://competition-bureau.canada.ca/deceptive-marketing-practices-digest-volume-4" TargetMode="External"/><Relationship Id="rId170" Type="http://schemas.openxmlformats.org/officeDocument/2006/relationships/hyperlink" Target="https://adstandards.ca/wp-content/uploads/2019/10/Standards-Council-Organization-and-Procedure-2019.pdf" TargetMode="External"/><Relationship Id="rId191" Type="http://schemas.openxmlformats.org/officeDocument/2006/relationships/fontTable" Target="fontTable.xml"/><Relationship Id="rId107" Type="http://schemas.openxmlformats.org/officeDocument/2006/relationships/hyperlink" Target="https://www.legal500.com/guides/chapter/canada-advertising-marketing/" TargetMode="External"/><Relationship Id="rId11" Type="http://schemas.openxmlformats.org/officeDocument/2006/relationships/hyperlink" Target="https://www.cia.gov/the-world-factbook/countries/canada/" TargetMode="External"/><Relationship Id="rId32" Type="http://schemas.openxmlformats.org/officeDocument/2006/relationships/hyperlink" Target="https://crtc.gc.ca/eng/home-accueil.htm" TargetMode="External"/><Relationship Id="rId53" Type="http://schemas.openxmlformats.org/officeDocument/2006/relationships/hyperlink" Target="https://competition-bureau.canada.ca/" TargetMode="External"/><Relationship Id="rId74" Type="http://schemas.openxmlformats.org/officeDocument/2006/relationships/hyperlink" Target="https://digitaladvertisingalliance.org/principles" TargetMode="External"/><Relationship Id="rId128" Type="http://schemas.openxmlformats.org/officeDocument/2006/relationships/hyperlink" Target="https://crtc.gc.ca/eng/home-accueil.htm" TargetMode="External"/><Relationship Id="rId149" Type="http://schemas.openxmlformats.org/officeDocument/2006/relationships/hyperlink" Target="https://adstandards.ca/" TargetMode="External"/><Relationship Id="rId5" Type="http://schemas.openxmlformats.org/officeDocument/2006/relationships/webSettings" Target="webSettings.xml"/><Relationship Id="rId95" Type="http://schemas.openxmlformats.org/officeDocument/2006/relationships/hyperlink" Target="https://competition-bureau.canada.ca/" TargetMode="External"/><Relationship Id="rId160" Type="http://schemas.openxmlformats.org/officeDocument/2006/relationships/hyperlink" Target="https://laws.justice.gc.ca/eng/acts/C-34/FullText.html" TargetMode="External"/><Relationship Id="rId181" Type="http://schemas.openxmlformats.org/officeDocument/2006/relationships/hyperlink" Target="https://iabcanada.com/wp-content/uploads/2023/06/IABCanadaRevenueSurvey2022_Final.pdf" TargetMode="External"/><Relationship Id="rId22" Type="http://schemas.openxmlformats.org/officeDocument/2006/relationships/hyperlink" Target="https://site-cbc.radio-canada.ca/documents/impact-and-accountability/finances/2021-2022-ar.pdf" TargetMode="External"/><Relationship Id="rId43" Type="http://schemas.openxmlformats.org/officeDocument/2006/relationships/hyperlink" Target="https://adstandards.ca/code/the-code-online/" TargetMode="External"/><Relationship Id="rId64" Type="http://schemas.openxmlformats.org/officeDocument/2006/relationships/hyperlink" Target="https://adstandards.ca/code/the-code-online/" TargetMode="External"/><Relationship Id="rId118" Type="http://schemas.openxmlformats.org/officeDocument/2006/relationships/hyperlink" Target="https://www.mediacouncil.ca/" TargetMode="External"/><Relationship Id="rId139" Type="http://schemas.openxmlformats.org/officeDocument/2006/relationships/hyperlink" Target="https://crtc.gc.ca/eng/television/publicit/publicit.htm" TargetMode="External"/><Relationship Id="rId85" Type="http://schemas.openxmlformats.org/officeDocument/2006/relationships/hyperlink" Target="https://adstandards.ca/" TargetMode="External"/><Relationship Id="rId150" Type="http://schemas.openxmlformats.org/officeDocument/2006/relationships/hyperlink" Target="https://adstandards.ca/code/the-code-online/" TargetMode="External"/><Relationship Id="rId171" Type="http://schemas.openxmlformats.org/officeDocument/2006/relationships/hyperlink" Target="https://adstandards.ca/code/the-code-online/" TargetMode="External"/><Relationship Id="rId192" Type="http://schemas.openxmlformats.org/officeDocument/2006/relationships/theme" Target="theme/theme1.xml"/><Relationship Id="rId12" Type="http://schemas.openxmlformats.org/officeDocument/2006/relationships/hyperlink" Target="https://data.worldbank.org/country/canada" TargetMode="External"/><Relationship Id="rId33" Type="http://schemas.openxmlformats.org/officeDocument/2006/relationships/hyperlink" Target="https://www.ccts-cprst.ca/" TargetMode="External"/><Relationship Id="rId108" Type="http://schemas.openxmlformats.org/officeDocument/2006/relationships/hyperlink" Target="https://competition-bureau.canada.ca/" TargetMode="External"/><Relationship Id="rId129" Type="http://schemas.openxmlformats.org/officeDocument/2006/relationships/hyperlink" Target="https://crtc.gc.ca/eng/television/publicit/publicit.htm" TargetMode="External"/><Relationship Id="rId54" Type="http://schemas.openxmlformats.org/officeDocument/2006/relationships/hyperlink" Target="https://www.opc.gouv.qc.ca/" TargetMode="External"/><Relationship Id="rId75" Type="http://schemas.openxmlformats.org/officeDocument/2006/relationships/hyperlink" Target="https://digitaladvertisingalliance.org/principles" TargetMode="External"/><Relationship Id="rId96" Type="http://schemas.openxmlformats.org/officeDocument/2006/relationships/hyperlink" Target="https://laws.justice.gc.ca/eng/acts/C-34/FullText.html" TargetMode="External"/><Relationship Id="rId140" Type="http://schemas.openxmlformats.org/officeDocument/2006/relationships/hyperlink" Target="https://crtc.gc.ca/eng/television/publicit/publicit.htm" TargetMode="External"/><Relationship Id="rId161" Type="http://schemas.openxmlformats.org/officeDocument/2006/relationships/hyperlink" Target="https://adstandards.ca/" TargetMode="External"/><Relationship Id="rId182" Type="http://schemas.openxmlformats.org/officeDocument/2006/relationships/hyperlink" Target="https://iabcanada.com/wp-content/uploads/2022/06/IAB-Canada-Revenue-Survey-2021-Final.pdf" TargetMode="External"/><Relationship Id="rId6" Type="http://schemas.openxmlformats.org/officeDocument/2006/relationships/footnotes" Target="footnotes.xml"/><Relationship Id="rId23" Type="http://schemas.openxmlformats.org/officeDocument/2006/relationships/hyperlink" Target="https://site-cbc.radio-canada.ca/documents/impact-and-accountability/finances/2021-2022-ar.pdf" TargetMode="External"/><Relationship Id="rId119" Type="http://schemas.openxmlformats.org/officeDocument/2006/relationships/hyperlink" Target="https://www.mediacouncil.ca/media-ethics/guides-and-resources/" TargetMode="External"/><Relationship Id="rId44" Type="http://schemas.openxmlformats.org/officeDocument/2006/relationships/hyperlink" Target="https://adstandards.ca/code/the-code-online/" TargetMode="External"/><Relationship Id="rId65" Type="http://schemas.openxmlformats.org/officeDocument/2006/relationships/hyperlink" Target="https://adstandards.ca/code/the-code-online/" TargetMode="External"/><Relationship Id="rId86" Type="http://schemas.openxmlformats.org/officeDocument/2006/relationships/hyperlink" Target="https://adstandards.ca/complaints/" TargetMode="External"/><Relationship Id="rId130" Type="http://schemas.openxmlformats.org/officeDocument/2006/relationships/hyperlink" Target="https://crtc.gc.ca/eng/television/publicit/publicit.htm" TargetMode="External"/><Relationship Id="rId151" Type="http://schemas.openxmlformats.org/officeDocument/2006/relationships/hyperlink" Target="https://adstandards.ca/code/the-code-online/" TargetMode="External"/><Relationship Id="rId172" Type="http://schemas.openxmlformats.org/officeDocument/2006/relationships/hyperlink" Target="https://site-cbc.radio-canada.ca/documents/impact-and-accountability/finances/2021-2022-ar.pdf" TargetMode="External"/><Relationship Id="rId13" Type="http://schemas.openxmlformats.org/officeDocument/2006/relationships/hyperlink" Target="https://www.cia.gov/the-world-factbook/countries/canada/" TargetMode="External"/><Relationship Id="rId18" Type="http://schemas.openxmlformats.org/officeDocument/2006/relationships/hyperlink" Target="https://www150.statcan.gc.ca/n1/daily-quotidien/210531/dq210531d-eng.htm" TargetMode="External"/><Relationship Id="rId39" Type="http://schemas.openxmlformats.org/officeDocument/2006/relationships/hyperlink" Target="https://www.legislation.gov.au/C2021A00021/latest/text" TargetMode="External"/><Relationship Id="rId109" Type="http://schemas.openxmlformats.org/officeDocument/2006/relationships/hyperlink" Target="https://competition-bureau.canada.ca/deceptive-marketing-practices/types-deceptive-marketing-practices/use-tests-or-testimonials" TargetMode="External"/><Relationship Id="rId34" Type="http://schemas.openxmlformats.org/officeDocument/2006/relationships/hyperlink" Target="https://www.cbsc.ca/" TargetMode="External"/><Relationship Id="rId50" Type="http://schemas.openxmlformats.org/officeDocument/2006/relationships/hyperlink" Target="https://laws-lois.justice.gc.ca/eng/acts/E-1.6/index.html" TargetMode="External"/><Relationship Id="rId55" Type="http://schemas.openxmlformats.org/officeDocument/2006/relationships/hyperlink" Target="https://practiceguides.chambers.com/practice-guides/advertising-marketing-2023/canada" TargetMode="External"/><Relationship Id="rId76" Type="http://schemas.openxmlformats.org/officeDocument/2006/relationships/hyperlink" Target="https://www.canadianbeverage.ca/" TargetMode="External"/><Relationship Id="rId97" Type="http://schemas.openxmlformats.org/officeDocument/2006/relationships/hyperlink" Target="https://competition-bureau.canada.ca/deceptive-marketing-practices-digest-volume-1" TargetMode="External"/><Relationship Id="rId104" Type="http://schemas.openxmlformats.org/officeDocument/2006/relationships/hyperlink" Target="https://laws.justice.gc.ca/eng/acts/C-34/FullText.html" TargetMode="External"/><Relationship Id="rId120" Type="http://schemas.openxmlformats.org/officeDocument/2006/relationships/hyperlink" Target="https://www.mediacouncil.ca/media-ethics/guides-and-resources/" TargetMode="External"/><Relationship Id="rId125" Type="http://schemas.openxmlformats.org/officeDocument/2006/relationships/hyperlink" Target="https://cbc.radio-canada.ca/en/vision/governance/programming-policies/advertising" TargetMode="External"/><Relationship Id="rId141" Type="http://schemas.openxmlformats.org/officeDocument/2006/relationships/hyperlink" Target="https://laws.justice.gc.ca/eng/acts/C-34/FullText.html" TargetMode="External"/><Relationship Id="rId146" Type="http://schemas.openxmlformats.org/officeDocument/2006/relationships/hyperlink" Target="https://digitaladvertisingalliance.org/principles" TargetMode="External"/><Relationship Id="rId167" Type="http://schemas.openxmlformats.org/officeDocument/2006/relationships/hyperlink" Target="https://adstandards.ca/code/the-code-online/" TargetMode="External"/><Relationship Id="rId188" Type="http://schemas.openxmlformats.org/officeDocument/2006/relationships/hyperlink" Target="https://doi.org/10.22215/gmicp/2022.01" TargetMode="External"/><Relationship Id="rId7" Type="http://schemas.openxmlformats.org/officeDocument/2006/relationships/endnotes" Target="endnotes.xml"/><Relationship Id="rId71" Type="http://schemas.openxmlformats.org/officeDocument/2006/relationships/hyperlink" Target="https://thecma.ca/resources/code-of-ethics-standards" TargetMode="External"/><Relationship Id="rId92" Type="http://schemas.openxmlformats.org/officeDocument/2006/relationships/hyperlink" Target="https://adstandards.ca/" TargetMode="External"/><Relationship Id="rId162" Type="http://schemas.openxmlformats.org/officeDocument/2006/relationships/hyperlink" Target="https://adstandards.ca/code/the-code-online/" TargetMode="External"/><Relationship Id="rId183" Type="http://schemas.openxmlformats.org/officeDocument/2006/relationships/hyperlink" Target="https://icas.global/srodatabase/" TargetMode="External"/><Relationship Id="rId2" Type="http://schemas.openxmlformats.org/officeDocument/2006/relationships/numbering" Target="numbering.xml"/><Relationship Id="rId29" Type="http://schemas.openxmlformats.org/officeDocument/2006/relationships/hyperlink" Target="https://laws.justice.gc.ca/eng/acts/T-3.4/" TargetMode="External"/><Relationship Id="rId24" Type="http://schemas.openxmlformats.org/officeDocument/2006/relationships/hyperlink" Target="https://iabcanada.com/wp-content/uploads/2023/06/IABCanadaRevenueSurvey2022_Final.pdf" TargetMode="External"/><Relationship Id="rId40" Type="http://schemas.openxmlformats.org/officeDocument/2006/relationships/hyperlink" Target="https://laws.justice.gc.ca/eng/acts/E-1.6/FullText.html" TargetMode="External"/><Relationship Id="rId45" Type="http://schemas.openxmlformats.org/officeDocument/2006/relationships/hyperlink" Target="https://laws.justice.gc.ca/eng/acts/E-1.6/FullText.html" TargetMode="External"/><Relationship Id="rId66" Type="http://schemas.openxmlformats.org/officeDocument/2006/relationships/hyperlink" Target="https://adstandards.ca/code/the-code-online/" TargetMode="External"/><Relationship Id="rId87" Type="http://schemas.openxmlformats.org/officeDocument/2006/relationships/hyperlink" Target="https://adstandards.ca/" TargetMode="External"/><Relationship Id="rId110" Type="http://schemas.openxmlformats.org/officeDocument/2006/relationships/hyperlink" Target="https://competition-bureau.canada.ca/deceptive-marketing-practices/types-deceptive-marketing-practices/use-tests-or-testimonials" TargetMode="External"/><Relationship Id="rId115" Type="http://schemas.openxmlformats.org/officeDocument/2006/relationships/hyperlink" Target="https://adstandards.ca/" TargetMode="External"/><Relationship Id="rId131" Type="http://schemas.openxmlformats.org/officeDocument/2006/relationships/hyperlink" Target="https://laws.justice.gc.ca/eng/acts/C-34/FullText.html" TargetMode="External"/><Relationship Id="rId136" Type="http://schemas.openxmlformats.org/officeDocument/2006/relationships/hyperlink" Target="https://cbc.radio-canada.ca/en/vision/governance/programming-policies/advertising/objectives" TargetMode="External"/><Relationship Id="rId157" Type="http://schemas.openxmlformats.org/officeDocument/2006/relationships/hyperlink" Target="https://competition-bureau.canada.ca/deceptive-marketing-practices/types-deceptive-marketing-practices/influencer-marketing-and-competition-act" TargetMode="External"/><Relationship Id="rId178" Type="http://schemas.openxmlformats.org/officeDocument/2006/relationships/hyperlink" Target="https://competition-bureau.canada.ca/deceptive-marketing-practices/types-deceptive-marketing-practices/use-tests-or-testimonials" TargetMode="External"/><Relationship Id="rId61" Type="http://schemas.openxmlformats.org/officeDocument/2006/relationships/hyperlink" Target="https://adstandards.ca/" TargetMode="External"/><Relationship Id="rId82" Type="http://schemas.openxmlformats.org/officeDocument/2006/relationships/hyperlink" Target="https://adstandards.ca/" TargetMode="External"/><Relationship Id="rId152" Type="http://schemas.openxmlformats.org/officeDocument/2006/relationships/hyperlink" Target="https://adstandards.ca/" TargetMode="External"/><Relationship Id="rId173" Type="http://schemas.openxmlformats.org/officeDocument/2006/relationships/hyperlink" Target="https://crtc.gc.ca/eng/television/publicit/publicit.htm" TargetMode="External"/><Relationship Id="rId19" Type="http://schemas.openxmlformats.org/officeDocument/2006/relationships/hyperlink" Target="https://www.ibisworld.com/canada/market-research-reports/newspaper-publishing-industry/" TargetMode="External"/><Relationship Id="rId14" Type="http://schemas.openxmlformats.org/officeDocument/2006/relationships/hyperlink" Target="https://www.cia.gov/the-world-factbook/countries/canada/" TargetMode="External"/><Relationship Id="rId30" Type="http://schemas.openxmlformats.org/officeDocument/2006/relationships/hyperlink" Target="https://laws.justice.gc.ca/eng/acts/P-8.6/" TargetMode="External"/><Relationship Id="rId35" Type="http://schemas.openxmlformats.org/officeDocument/2006/relationships/hyperlink" Target="https://adstandards.ca/" TargetMode="External"/><Relationship Id="rId56" Type="http://schemas.openxmlformats.org/officeDocument/2006/relationships/hyperlink" Target="https://competition-bureau.canada.ca/" TargetMode="External"/><Relationship Id="rId77" Type="http://schemas.openxmlformats.org/officeDocument/2006/relationships/hyperlink" Target="https://www.canadianbeverage.ca/industry-initiatives/guidelines/" TargetMode="External"/><Relationship Id="rId100" Type="http://schemas.openxmlformats.org/officeDocument/2006/relationships/hyperlink" Target="https://laws.justice.gc.ca/eng/acts/C-34/FullText.html" TargetMode="External"/><Relationship Id="rId105" Type="http://schemas.openxmlformats.org/officeDocument/2006/relationships/hyperlink" Target="https://laws.justice.gc.ca/eng/acts/C-34/FullText.html" TargetMode="External"/><Relationship Id="rId126" Type="http://schemas.openxmlformats.org/officeDocument/2006/relationships/hyperlink" Target="https://cbc.radio-canada.ca/en/vision/governance/programming-policies/advertising/objectives" TargetMode="External"/><Relationship Id="rId147" Type="http://schemas.openxmlformats.org/officeDocument/2006/relationships/hyperlink" Target="https://digitaladvertisingalliance.org/principles" TargetMode="External"/><Relationship Id="rId168" Type="http://schemas.openxmlformats.org/officeDocument/2006/relationships/hyperlink" Target="https://adstandards.ca/complaints/" TargetMode="External"/><Relationship Id="rId8" Type="http://schemas.openxmlformats.org/officeDocument/2006/relationships/image" Target="media/image1.png"/><Relationship Id="rId51" Type="http://schemas.openxmlformats.org/officeDocument/2006/relationships/hyperlink" Target="https://www.legisquebec.gouv.qc.ca/en/document/cs/p-40.1" TargetMode="External"/><Relationship Id="rId72" Type="http://schemas.openxmlformats.org/officeDocument/2006/relationships/hyperlink" Target="https://thecma.ca/resources/code-of-ethics-standards" TargetMode="External"/><Relationship Id="rId93" Type="http://schemas.openxmlformats.org/officeDocument/2006/relationships/hyperlink" Target="https://adstandards.ca/code/the-code-online/" TargetMode="External"/><Relationship Id="rId98" Type="http://schemas.openxmlformats.org/officeDocument/2006/relationships/hyperlink" Target="https://competition-bureau.canada.ca/deceptive-marketing-practices-digest-volume-1" TargetMode="External"/><Relationship Id="rId121" Type="http://schemas.openxmlformats.org/officeDocument/2006/relationships/hyperlink" Target="https://laws.justice.gc.ca/eng/acts/C-34/FullText.html" TargetMode="External"/><Relationship Id="rId142" Type="http://schemas.openxmlformats.org/officeDocument/2006/relationships/hyperlink" Target="https://adstandards.ca/" TargetMode="External"/><Relationship Id="rId163" Type="http://schemas.openxmlformats.org/officeDocument/2006/relationships/hyperlink" Target="https://adstandards.ca/code/the-code-online/" TargetMode="External"/><Relationship Id="rId184" Type="http://schemas.openxmlformats.org/officeDocument/2006/relationships/hyperlink" Target="https://forumfed.org/document/implementation-of-international-and-supra-national-law-by-sub-national-units/" TargetMode="External"/><Relationship Id="rId189" Type="http://schemas.openxmlformats.org/officeDocument/2006/relationships/header" Target="header1.xml"/><Relationship Id="rId3" Type="http://schemas.openxmlformats.org/officeDocument/2006/relationships/styles" Target="styles.xml"/><Relationship Id="rId25" Type="http://schemas.openxmlformats.org/officeDocument/2006/relationships/hyperlink" Target="https://iabcanada.com/wp-content/uploads/2022/06/IAB-Canada-Revenue-Survey-2021-Final.pdf" TargetMode="External"/><Relationship Id="rId46" Type="http://schemas.openxmlformats.org/officeDocument/2006/relationships/hyperlink" Target="https://laws.justice.gc.ca/eng/acts/E-1.6/FullText.html" TargetMode="External"/><Relationship Id="rId67" Type="http://schemas.openxmlformats.org/officeDocument/2006/relationships/hyperlink" Target="https://adstandards.ca/code/the-code-online/" TargetMode="External"/><Relationship Id="rId116" Type="http://schemas.openxmlformats.org/officeDocument/2006/relationships/hyperlink" Target="https://adstandards.ca/code/the-code-online/" TargetMode="External"/><Relationship Id="rId137" Type="http://schemas.openxmlformats.org/officeDocument/2006/relationships/hyperlink" Target="https://site-cbc.radio-canada.ca/documents/impact-and-accountability/ati/misc/2020/a-2020-00123.pdf" TargetMode="External"/><Relationship Id="rId158" Type="http://schemas.openxmlformats.org/officeDocument/2006/relationships/hyperlink" Target="https://competition-bureau.canada.ca/deceptive-marketing-practices-digest-volume-4" TargetMode="External"/><Relationship Id="rId20" Type="http://schemas.openxmlformats.org/officeDocument/2006/relationships/hyperlink" Target="https://canadagazette.gc.ca/rp-pr/p2/2024/2024-01-03/html/sor-dors276-eng.html" TargetMode="External"/><Relationship Id="rId41" Type="http://schemas.openxmlformats.org/officeDocument/2006/relationships/hyperlink" Target="https://forumfed.org/document/implementation-of-international-and-supra-national-law-by-sub-national-units/" TargetMode="External"/><Relationship Id="rId62" Type="http://schemas.openxmlformats.org/officeDocument/2006/relationships/hyperlink" Target="https://www.zoominfo.com/pic/advertising-standards-authority-ltd/343566396" TargetMode="External"/><Relationship Id="rId83" Type="http://schemas.openxmlformats.org/officeDocument/2006/relationships/hyperlink" Target="https://adstandards.ca/wp-content/uploads/2019/10/Standards-Council-Organization-and-Procedure-2019.pdf" TargetMode="External"/><Relationship Id="rId88" Type="http://schemas.openxmlformats.org/officeDocument/2006/relationships/hyperlink" Target="https://adstandards.ca/complaints/" TargetMode="External"/><Relationship Id="rId111" Type="http://schemas.openxmlformats.org/officeDocument/2006/relationships/hyperlink" Target="https://adstandards.ca/" TargetMode="External"/><Relationship Id="rId132" Type="http://schemas.openxmlformats.org/officeDocument/2006/relationships/hyperlink" Target="https://adstandards.ca/" TargetMode="External"/><Relationship Id="rId153" Type="http://schemas.openxmlformats.org/officeDocument/2006/relationships/hyperlink" Target="https://adstandards.ca/wp-content/uploads/AdStandards-Influencer-Guidelines-EN-2023-FIN.pdf" TargetMode="External"/><Relationship Id="rId174" Type="http://schemas.openxmlformats.org/officeDocument/2006/relationships/hyperlink" Target="https://cbc.radio-canada.ca/en/vision/governance/programming-policies/advertising" TargetMode="External"/><Relationship Id="rId179" Type="http://schemas.openxmlformats.org/officeDocument/2006/relationships/hyperlink" Target="https://www.cia.gov/the-world-factbook/" TargetMode="External"/><Relationship Id="rId190" Type="http://schemas.openxmlformats.org/officeDocument/2006/relationships/footer" Target="footer1.xml"/><Relationship Id="rId15" Type="http://schemas.openxmlformats.org/officeDocument/2006/relationships/hyperlink" Target="https://www.cia.gov/the-world-factbook/countries/canada/" TargetMode="External"/><Relationship Id="rId36" Type="http://schemas.openxmlformats.org/officeDocument/2006/relationships/hyperlink" Target="https://www.mediacouncil.ca/" TargetMode="External"/><Relationship Id="rId57" Type="http://schemas.openxmlformats.org/officeDocument/2006/relationships/hyperlink" Target="https://laws.justice.gc.ca/eng/acts/E-1.6/FullText.html" TargetMode="External"/><Relationship Id="rId106" Type="http://schemas.openxmlformats.org/officeDocument/2006/relationships/hyperlink" Target="https://laws.justice.gc.ca/eng/acts/C-34/FullText.html" TargetMode="External"/><Relationship Id="rId127" Type="http://schemas.openxmlformats.org/officeDocument/2006/relationships/hyperlink" Target="https://site-cbc.radio-canada.ca/documents/impact-and-accountability/ati/misc/2020/a-2020-00123.pdf" TargetMode="External"/><Relationship Id="rId10" Type="http://schemas.openxmlformats.org/officeDocument/2006/relationships/hyperlink" Target="https://www.cia.gov/the-world-factbook/countries/canada/" TargetMode="External"/><Relationship Id="rId31" Type="http://schemas.openxmlformats.org/officeDocument/2006/relationships/hyperlink" Target="https://laws.justice.gc.ca/eng/acts/C-42/FullText.html" TargetMode="External"/><Relationship Id="rId52" Type="http://schemas.openxmlformats.org/officeDocument/2006/relationships/hyperlink" Target="https://competition-bureau.canada.ca/" TargetMode="External"/><Relationship Id="rId73" Type="http://schemas.openxmlformats.org/officeDocument/2006/relationships/hyperlink" Target="https://digitaladvertisingalliance.org/" TargetMode="External"/><Relationship Id="rId78" Type="http://schemas.openxmlformats.org/officeDocument/2006/relationships/hyperlink" Target="https://adstandards.ca/" TargetMode="External"/><Relationship Id="rId94" Type="http://schemas.openxmlformats.org/officeDocument/2006/relationships/hyperlink" Target="https://adstandards.ca/code/the-code-online/" TargetMode="External"/><Relationship Id="rId99" Type="http://schemas.openxmlformats.org/officeDocument/2006/relationships/hyperlink" Target="https://laws.justice.gc.ca/eng/acts/C-34/FullText.html" TargetMode="External"/><Relationship Id="rId101" Type="http://schemas.openxmlformats.org/officeDocument/2006/relationships/hyperlink" Target="https://adstandards.ca/" TargetMode="External"/><Relationship Id="rId122" Type="http://schemas.openxmlformats.org/officeDocument/2006/relationships/hyperlink" Target="https://adstandards.ca/" TargetMode="External"/><Relationship Id="rId143" Type="http://schemas.openxmlformats.org/officeDocument/2006/relationships/hyperlink" Target="https://adstandards.ca/code/the-code-online/" TargetMode="External"/><Relationship Id="rId148" Type="http://schemas.openxmlformats.org/officeDocument/2006/relationships/hyperlink" Target="https://laws.justice.gc.ca/eng/acts/C-34/FullText.html" TargetMode="External"/><Relationship Id="rId164" Type="http://schemas.openxmlformats.org/officeDocument/2006/relationships/hyperlink" Target="https://laws.justice.gc.ca/eng/acts/C-34/FullText.html" TargetMode="External"/><Relationship Id="rId169" Type="http://schemas.openxmlformats.org/officeDocument/2006/relationships/hyperlink" Target="https://adstandards.ca/wp-content/uploads/AdStandards-Influencer-Guidelines-EN-2023-FIN.pdf" TargetMode="External"/><Relationship Id="rId185" Type="http://schemas.openxmlformats.org/officeDocument/2006/relationships/hyperlink" Target="https://rsf.org/en/index" TargetMode="External"/><Relationship Id="rId4" Type="http://schemas.openxmlformats.org/officeDocument/2006/relationships/settings" Target="settings.xml"/><Relationship Id="rId9" Type="http://schemas.openxmlformats.org/officeDocument/2006/relationships/hyperlink" Target="mailto:BCGproject@arts.ac.uk" TargetMode="External"/><Relationship Id="rId180" Type="http://schemas.openxmlformats.org/officeDocument/2006/relationships/hyperlink" Target="https://gowlingwlg.com/en/insights-resources/guides/2023/doing-business-in-canada-advertising/" TargetMode="External"/><Relationship Id="rId26" Type="http://schemas.openxmlformats.org/officeDocument/2006/relationships/hyperlink" Target="https://repository.library.carleton.ca/concern/research_works/qb98mf474" TargetMode="External"/><Relationship Id="rId47" Type="http://schemas.openxmlformats.org/officeDocument/2006/relationships/hyperlink" Target="https://laws.justice.gc.ca/eng/acts/C-34/FullText.html" TargetMode="External"/><Relationship Id="rId68" Type="http://schemas.openxmlformats.org/officeDocument/2006/relationships/hyperlink" Target="https://adstandards.ca/" TargetMode="External"/><Relationship Id="rId89" Type="http://schemas.openxmlformats.org/officeDocument/2006/relationships/hyperlink" Target="https://adstandards.ca/" TargetMode="External"/><Relationship Id="rId112" Type="http://schemas.openxmlformats.org/officeDocument/2006/relationships/hyperlink" Target="https://adstandards.ca/code/the-code-online/" TargetMode="External"/><Relationship Id="rId133" Type="http://schemas.openxmlformats.org/officeDocument/2006/relationships/hyperlink" Target="https://adstandards.ca/code/the-code-online/" TargetMode="External"/><Relationship Id="rId154" Type="http://schemas.openxmlformats.org/officeDocument/2006/relationships/hyperlink" Target="https://adstandards.ca/wp-content/uploads/AdStandards-Influencer-Guidelines-EN-2023-FIN.pdf" TargetMode="External"/><Relationship Id="rId175" Type="http://schemas.openxmlformats.org/officeDocument/2006/relationships/hyperlink" Target="https://site-cbc.radio-canada.ca/documents/impact-and-accountability/ati/misc/2020/a-2020-00123.pdf" TargetMode="External"/><Relationship Id="rId16" Type="http://schemas.openxmlformats.org/officeDocument/2006/relationships/hyperlink" Target="https://www.cia.gov/the-world-factbook/countries/canada/" TargetMode="External"/><Relationship Id="rId37" Type="http://schemas.openxmlformats.org/officeDocument/2006/relationships/hyperlink" Target="https://laws.justice.gc.ca/eng/acts/b-9.01/FullText.html" TargetMode="External"/><Relationship Id="rId58" Type="http://schemas.openxmlformats.org/officeDocument/2006/relationships/hyperlink" Target="https://adstandards.ca/" TargetMode="External"/><Relationship Id="rId79" Type="http://schemas.openxmlformats.org/officeDocument/2006/relationships/hyperlink" Target="https://adstandards.ca/code/the-code-online/" TargetMode="External"/><Relationship Id="rId102" Type="http://schemas.openxmlformats.org/officeDocument/2006/relationships/hyperlink" Target="https://adstandards.ca/code/the-code-online/" TargetMode="External"/><Relationship Id="rId123" Type="http://schemas.openxmlformats.org/officeDocument/2006/relationships/hyperlink" Target="https://adstandards.ca/code/the-code-online/" TargetMode="External"/><Relationship Id="rId144" Type="http://schemas.openxmlformats.org/officeDocument/2006/relationships/hyperlink" Target="https://adstandards.ca/code/the-code-online/" TargetMode="External"/><Relationship Id="rId90" Type="http://schemas.openxmlformats.org/officeDocument/2006/relationships/hyperlink" Target="https://laws.justice.gc.ca/eng/acts/C-34/FullText.html" TargetMode="External"/><Relationship Id="rId165" Type="http://schemas.openxmlformats.org/officeDocument/2006/relationships/hyperlink" Target="https://adstandards.ca/" TargetMode="External"/><Relationship Id="rId186" Type="http://schemas.openxmlformats.org/officeDocument/2006/relationships/hyperlink" Target="https://www150.statcan.gc.ca/n1/daily-quotidien/210531/dq210531d-eng.htm" TargetMode="External"/><Relationship Id="rId27" Type="http://schemas.openxmlformats.org/officeDocument/2006/relationships/hyperlink" Target="https://laws.justice.gc.ca/eng/acts/b-9.01/FullText.html" TargetMode="External"/><Relationship Id="rId48" Type="http://schemas.openxmlformats.org/officeDocument/2006/relationships/hyperlink" Target="https://laws.justice.gc.ca/eng/acts/C-42/FullText.html" TargetMode="External"/><Relationship Id="rId69" Type="http://schemas.openxmlformats.org/officeDocument/2006/relationships/hyperlink" Target="https://icas.global/about/members/" TargetMode="External"/><Relationship Id="rId113" Type="http://schemas.openxmlformats.org/officeDocument/2006/relationships/hyperlink" Target="https://adstandards.ca/code/the-code-online/" TargetMode="External"/><Relationship Id="rId134" Type="http://schemas.openxmlformats.org/officeDocument/2006/relationships/hyperlink" Target="https://adstandards.ca/code/the-code-online/" TargetMode="External"/><Relationship Id="rId80" Type="http://schemas.openxmlformats.org/officeDocument/2006/relationships/hyperlink" Target="https://adstandards.ca/code/the-code-online/" TargetMode="External"/><Relationship Id="rId155" Type="http://schemas.openxmlformats.org/officeDocument/2006/relationships/hyperlink" Target="https://competition-bureau.canada.ca/" TargetMode="External"/><Relationship Id="rId176" Type="http://schemas.openxmlformats.org/officeDocument/2006/relationships/hyperlink" Target="https://competition-bureau.canada.ca/deceptive-marketing-practices-digest-volume-4" TargetMode="External"/><Relationship Id="rId17" Type="http://schemas.openxmlformats.org/officeDocument/2006/relationships/hyperlink" Target="https://www.cia.gov/the-world-factbook/countries/canada/" TargetMode="External"/><Relationship Id="rId38" Type="http://schemas.openxmlformats.org/officeDocument/2006/relationships/hyperlink" Target="https://www.canada.ca/en/canadian-heritage/services/online-news.html" TargetMode="External"/><Relationship Id="rId59" Type="http://schemas.openxmlformats.org/officeDocument/2006/relationships/hyperlink" Target="https://adstandards.ca/code/the-code-online/" TargetMode="External"/><Relationship Id="rId103" Type="http://schemas.openxmlformats.org/officeDocument/2006/relationships/hyperlink" Target="https://adstandards.ca/code/the-code-online/" TargetMode="External"/><Relationship Id="rId124" Type="http://schemas.openxmlformats.org/officeDocument/2006/relationships/hyperlink" Target="https://adstandards.ca/code/the-code-online/" TargetMode="External"/><Relationship Id="rId70" Type="http://schemas.openxmlformats.org/officeDocument/2006/relationships/hyperlink" Target="https://thecma.ca/" TargetMode="External"/><Relationship Id="rId91" Type="http://schemas.openxmlformats.org/officeDocument/2006/relationships/hyperlink" Target="https://www.legal500.com/guides/chapter/canada-advertising-marketing/" TargetMode="External"/><Relationship Id="rId145" Type="http://schemas.openxmlformats.org/officeDocument/2006/relationships/hyperlink" Target="https://digitaladvertisingalliance.org/" TargetMode="External"/><Relationship Id="rId166" Type="http://schemas.openxmlformats.org/officeDocument/2006/relationships/hyperlink" Target="https://adstandards.ca/code/the-code-online/" TargetMode="External"/><Relationship Id="rId187" Type="http://schemas.openxmlformats.org/officeDocument/2006/relationships/hyperlink" Target="https://datatopics.worldbank.org/world-development-indicators/the-world-by-income-and-region.html" TargetMode="External"/><Relationship Id="rId1" Type="http://schemas.openxmlformats.org/officeDocument/2006/relationships/customXml" Target="../customXml/item1.xml"/><Relationship Id="rId28" Type="http://schemas.openxmlformats.org/officeDocument/2006/relationships/hyperlink" Target="https://laws.justice.gc.ca/eng/acts/C-22/FullText.html" TargetMode="External"/><Relationship Id="rId49" Type="http://schemas.openxmlformats.org/officeDocument/2006/relationships/hyperlink" Target="https://laws.justice.gc.ca/eng/acts/b-9.01/FullText.html" TargetMode="External"/><Relationship Id="rId114" Type="http://schemas.openxmlformats.org/officeDocument/2006/relationships/hyperlink" Target="https://laws.justice.gc.ca/eng/acts/C-34/FullText.html" TargetMode="External"/><Relationship Id="rId60" Type="http://schemas.openxmlformats.org/officeDocument/2006/relationships/hyperlink" Target="https://adstandards.ca/code/the-code-online/" TargetMode="External"/><Relationship Id="rId81" Type="http://schemas.openxmlformats.org/officeDocument/2006/relationships/hyperlink" Target="https://adstandards.ca/complaints/" TargetMode="External"/><Relationship Id="rId135" Type="http://schemas.openxmlformats.org/officeDocument/2006/relationships/hyperlink" Target="https://cbc.radio-canada.ca/en/vision/governance/programming-policies/advertising" TargetMode="External"/><Relationship Id="rId156" Type="http://schemas.openxmlformats.org/officeDocument/2006/relationships/hyperlink" Target="https://competition-bureau.canada.ca/deceptive-marketing-practices/types-deceptive-marketing-practices/influencer-marketing-and-competition-act" TargetMode="External"/><Relationship Id="rId177" Type="http://schemas.openxmlformats.org/officeDocument/2006/relationships/hyperlink" Target="https://competition-bureau.canada.ca/deceptive-marketing-practices/types-deceptive-marketing-practices/influencer-marketing-and-competition-act"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2430</TotalTime>
  <Pages>25</Pages>
  <Words>8910</Words>
  <Characters>50790</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8</cp:revision>
  <cp:lastPrinted>2024-05-13T12:36:00Z</cp:lastPrinted>
  <dcterms:created xsi:type="dcterms:W3CDTF">2024-07-19T08:39:00Z</dcterms:created>
  <dcterms:modified xsi:type="dcterms:W3CDTF">2024-07-29T13:46:00Z</dcterms:modified>
</cp:coreProperties>
</file>