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4AD4BF" w14:textId="77777777" w:rsidR="00CB5035" w:rsidRDefault="00D97AF7" w:rsidP="0051403E">
      <w:pPr>
        <w:spacing w:after="0"/>
      </w:pPr>
      <w:r w:rsidRPr="0051403E">
        <w:rPr>
          <w:b/>
          <w:bCs/>
          <w:noProof/>
          <w:lang w:val="es-ES" w:eastAsia="es-ES"/>
        </w:rPr>
        <w:drawing>
          <wp:anchor distT="0" distB="0" distL="114300" distR="114300" simplePos="0" relativeHeight="251658240" behindDoc="1" locked="1" layoutInCell="1" allowOverlap="1" wp14:anchorId="70922AB7" wp14:editId="1EB4D7A0">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80247"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D07CED" w14:textId="425C1137" w:rsidR="003A61FA" w:rsidRDefault="00D97AF7" w:rsidP="006D6B7B">
      <w:pPr>
        <w:pStyle w:val="Country"/>
        <w:rPr>
          <w:rStyle w:val="CountryChar"/>
        </w:rPr>
      </w:pPr>
      <w:r>
        <w:t xml:space="preserve">Spain </w:t>
      </w:r>
      <w:r w:rsidR="00203503" w:rsidRPr="006D6B7B">
        <w:rPr>
          <w:rStyle w:val="CountryChar"/>
        </w:rPr>
        <w:t xml:space="preserve">| </w:t>
      </w:r>
      <w:r w:rsidR="008C19F4">
        <w:rPr>
          <w:rStyle w:val="CountryChar"/>
        </w:rPr>
        <w:t xml:space="preserve">June </w:t>
      </w:r>
      <w:r>
        <w:rPr>
          <w:rStyle w:val="CountryChar"/>
        </w:rPr>
        <w:t>2024</w:t>
      </w:r>
      <w:r>
        <w:rPr>
          <w:rStyle w:val="CountryChar"/>
        </w:rPr>
        <w:br/>
      </w:r>
    </w:p>
    <w:p w14:paraId="342709DA" w14:textId="77777777" w:rsidR="0050499D" w:rsidRDefault="0050499D" w:rsidP="0050499D">
      <w:pPr>
        <w:pStyle w:val="Quote"/>
        <w:tabs>
          <w:tab w:val="right" w:pos="13076"/>
        </w:tabs>
        <w:spacing w:line="240" w:lineRule="auto"/>
        <w:jc w:val="left"/>
        <w:rPr>
          <w:rFonts w:cs="Arial"/>
          <w:b/>
          <w:bCs/>
          <w:i w:val="0"/>
          <w:iCs w:val="0"/>
          <w:color w:val="262626" w:themeColor="text1" w:themeTint="D9"/>
          <w:sz w:val="72"/>
          <w:szCs w:val="72"/>
        </w:rPr>
      </w:pPr>
    </w:p>
    <w:p w14:paraId="58B1BCEC" w14:textId="77777777" w:rsidR="00203503" w:rsidRDefault="00203503" w:rsidP="0050499D">
      <w:pPr>
        <w:pStyle w:val="Quote"/>
        <w:tabs>
          <w:tab w:val="right" w:pos="13076"/>
        </w:tabs>
        <w:spacing w:line="240" w:lineRule="auto"/>
        <w:jc w:val="left"/>
        <w:rPr>
          <w:rFonts w:cs="Arial"/>
          <w:b/>
          <w:bCs/>
          <w:i w:val="0"/>
          <w:iCs w:val="0"/>
          <w:color w:val="262626" w:themeColor="text1" w:themeTint="D9"/>
          <w:sz w:val="72"/>
          <w:szCs w:val="72"/>
        </w:rPr>
      </w:pPr>
    </w:p>
    <w:p w14:paraId="35A98393" w14:textId="77777777" w:rsidR="0050499D" w:rsidRPr="0050499D" w:rsidRDefault="00D97AF7" w:rsidP="00345D57">
      <w:pPr>
        <w:pStyle w:val="Coverheader"/>
        <w:spacing w:before="120" w:after="120"/>
        <w:rPr>
          <w:i/>
          <w:iCs/>
        </w:rPr>
      </w:pPr>
      <w:r w:rsidRPr="0050499D">
        <w:t>Branded Content</w:t>
      </w:r>
      <w:r w:rsidRPr="0050499D">
        <w:tab/>
      </w:r>
    </w:p>
    <w:p w14:paraId="43297013" w14:textId="77777777" w:rsidR="0050499D" w:rsidRDefault="00D97AF7" w:rsidP="00345D57">
      <w:pPr>
        <w:pStyle w:val="Coverheader"/>
        <w:spacing w:before="120" w:after="120"/>
        <w:rPr>
          <w:i/>
          <w:iCs/>
        </w:rPr>
      </w:pPr>
      <w:r w:rsidRPr="0050499D">
        <w:t>Governance</w:t>
      </w:r>
      <w:r w:rsidR="00345D57">
        <w:rPr>
          <w:i/>
          <w:iCs/>
        </w:rPr>
        <w:t xml:space="preserve"> </w:t>
      </w:r>
      <w:r w:rsidRPr="0050499D">
        <w:t>Project</w:t>
      </w:r>
    </w:p>
    <w:p w14:paraId="27BD624B" w14:textId="77777777" w:rsidR="0050499D" w:rsidRDefault="0050499D" w:rsidP="0050499D">
      <w:pPr>
        <w:pStyle w:val="Coversubtitle"/>
        <w:ind w:left="0"/>
      </w:pPr>
    </w:p>
    <w:p w14:paraId="2770A579" w14:textId="77777777" w:rsidR="0050499D" w:rsidRDefault="0050499D" w:rsidP="0050499D">
      <w:pPr>
        <w:pStyle w:val="Coversubtitle"/>
        <w:ind w:left="0"/>
      </w:pPr>
    </w:p>
    <w:p w14:paraId="2788DEB6" w14:textId="77777777" w:rsidR="0050499D" w:rsidRDefault="0050499D" w:rsidP="0050499D">
      <w:pPr>
        <w:pStyle w:val="Coversubtitle"/>
        <w:ind w:left="0"/>
      </w:pPr>
    </w:p>
    <w:p w14:paraId="48D4B818" w14:textId="77777777" w:rsidR="0050499D" w:rsidRPr="0050499D" w:rsidRDefault="0050499D" w:rsidP="0050499D"/>
    <w:p w14:paraId="23A7519A" w14:textId="77777777" w:rsidR="0038594D" w:rsidRDefault="00D97AF7" w:rsidP="008146FD">
      <w:r>
        <w:br w:type="page"/>
      </w:r>
    </w:p>
    <w:p w14:paraId="42238E7D" w14:textId="77777777" w:rsidR="00105A85" w:rsidRPr="007A32B3" w:rsidRDefault="00105A85" w:rsidP="00105A85">
      <w:pPr>
        <w:pStyle w:val="SectionHead"/>
        <w:numPr>
          <w:ilvl w:val="0"/>
          <w:numId w:val="0"/>
        </w:numPr>
      </w:pPr>
      <w:bookmarkStart w:id="0" w:name="_Toc169693485"/>
      <w:bookmarkStart w:id="1" w:name="_Toc169768304"/>
      <w:bookmarkStart w:id="2" w:name="_Toc170136339"/>
      <w:r w:rsidRPr="007A32B3">
        <w:lastRenderedPageBreak/>
        <w:t>Contents</w:t>
      </w:r>
      <w:bookmarkEnd w:id="0"/>
      <w:bookmarkEnd w:id="1"/>
      <w:bookmarkEnd w:id="2"/>
    </w:p>
    <w:p w14:paraId="691E2720" w14:textId="77777777" w:rsidR="00105A85" w:rsidRPr="004147A0" w:rsidRDefault="00105A85" w:rsidP="000C62F1">
      <w:pPr>
        <w:pStyle w:val="TOC1"/>
      </w:pPr>
    </w:p>
    <w:p w14:paraId="49080D5C" w14:textId="07CF43D2" w:rsidR="00105A85" w:rsidRPr="004147A0" w:rsidRDefault="00105A85" w:rsidP="000C62F1">
      <w:pPr>
        <w:pStyle w:val="TOC1"/>
        <w:rPr>
          <w:rFonts w:eastAsiaTheme="minorEastAsia"/>
          <w:noProof/>
          <w:kern w:val="2"/>
          <w:lang w:eastAsia="en-GB"/>
          <w14:ligatures w14:val="standardContextual"/>
        </w:rPr>
      </w:pPr>
      <w:r w:rsidRPr="004147A0">
        <w:fldChar w:fldCharType="begin"/>
      </w:r>
      <w:r w:rsidRPr="004147A0">
        <w:instrText xml:space="preserve"> TOC \h \z \t "Style2,2,Section Head,1" </w:instrText>
      </w:r>
      <w:r w:rsidRPr="004147A0">
        <w:fldChar w:fldCharType="separate"/>
      </w:r>
      <w:hyperlink w:anchor="_Toc170136339" w:history="1">
        <w:r w:rsidRPr="004147A0">
          <w:rPr>
            <w:rStyle w:val="Hyperlink"/>
            <w:rFonts w:ascii="Arial" w:hAnsi="Arial"/>
            <w:i w:val="0"/>
            <w:iCs w:val="0"/>
            <w:noProof/>
          </w:rPr>
          <w:t>Contents</w:t>
        </w:r>
        <w:r w:rsidRPr="004147A0">
          <w:rPr>
            <w:noProof/>
            <w:webHidden/>
          </w:rPr>
          <w:tab/>
        </w:r>
        <w:r w:rsidRPr="004147A0">
          <w:rPr>
            <w:noProof/>
            <w:webHidden/>
          </w:rPr>
          <w:fldChar w:fldCharType="begin"/>
        </w:r>
        <w:r w:rsidRPr="004147A0">
          <w:rPr>
            <w:noProof/>
            <w:webHidden/>
          </w:rPr>
          <w:instrText xml:space="preserve"> PAGEREF _Toc170136339 \h </w:instrText>
        </w:r>
        <w:r w:rsidRPr="004147A0">
          <w:rPr>
            <w:noProof/>
            <w:webHidden/>
          </w:rPr>
        </w:r>
        <w:r w:rsidRPr="004147A0">
          <w:rPr>
            <w:noProof/>
            <w:webHidden/>
          </w:rPr>
          <w:fldChar w:fldCharType="separate"/>
        </w:r>
        <w:r w:rsidRPr="004147A0">
          <w:rPr>
            <w:noProof/>
            <w:webHidden/>
          </w:rPr>
          <w:t>2</w:t>
        </w:r>
        <w:r w:rsidRPr="004147A0">
          <w:rPr>
            <w:noProof/>
            <w:webHidden/>
          </w:rPr>
          <w:fldChar w:fldCharType="end"/>
        </w:r>
      </w:hyperlink>
    </w:p>
    <w:p w14:paraId="54F55717" w14:textId="1B1A7F5D" w:rsidR="00105A85" w:rsidRPr="004147A0" w:rsidRDefault="00000000" w:rsidP="000C62F1">
      <w:pPr>
        <w:pStyle w:val="TOC1"/>
        <w:rPr>
          <w:rFonts w:eastAsiaTheme="minorEastAsia"/>
          <w:noProof/>
          <w:kern w:val="2"/>
          <w:lang w:eastAsia="en-GB"/>
          <w14:ligatures w14:val="standardContextual"/>
        </w:rPr>
      </w:pPr>
      <w:hyperlink w:anchor="_Toc170136340" w:history="1">
        <w:r w:rsidR="00105A85" w:rsidRPr="004147A0">
          <w:rPr>
            <w:rStyle w:val="Hyperlink"/>
            <w:rFonts w:ascii="Arial" w:hAnsi="Arial"/>
            <w:i w:val="0"/>
            <w:iCs w:val="0"/>
            <w:noProof/>
          </w:rPr>
          <w:t>Introduction</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_Toc170136340 \h </w:instrText>
        </w:r>
        <w:r w:rsidR="00105A85" w:rsidRPr="004147A0">
          <w:rPr>
            <w:noProof/>
            <w:webHidden/>
          </w:rPr>
        </w:r>
        <w:r w:rsidR="00105A85" w:rsidRPr="004147A0">
          <w:rPr>
            <w:noProof/>
            <w:webHidden/>
          </w:rPr>
          <w:fldChar w:fldCharType="separate"/>
        </w:r>
        <w:r w:rsidR="00105A85" w:rsidRPr="004147A0">
          <w:rPr>
            <w:noProof/>
            <w:webHidden/>
          </w:rPr>
          <w:t>3</w:t>
        </w:r>
        <w:r w:rsidR="00105A85" w:rsidRPr="004147A0">
          <w:rPr>
            <w:noProof/>
            <w:webHidden/>
          </w:rPr>
          <w:fldChar w:fldCharType="end"/>
        </w:r>
      </w:hyperlink>
    </w:p>
    <w:p w14:paraId="631AF0EF" w14:textId="43A46E69" w:rsidR="00105A85" w:rsidRPr="004147A0" w:rsidRDefault="00000000" w:rsidP="000C62F1">
      <w:pPr>
        <w:pStyle w:val="TOC1"/>
        <w:rPr>
          <w:rFonts w:eastAsiaTheme="minorEastAsia"/>
          <w:noProof/>
          <w:kern w:val="2"/>
          <w:lang w:eastAsia="en-GB"/>
          <w14:ligatures w14:val="standardContextual"/>
        </w:rPr>
      </w:pPr>
      <w:hyperlink w:anchor="_Toc170136341" w:history="1">
        <w:r w:rsidR="00105A85" w:rsidRPr="004147A0">
          <w:rPr>
            <w:rStyle w:val="Hyperlink"/>
            <w:rFonts w:ascii="Arial" w:hAnsi="Arial"/>
            <w:i w:val="0"/>
            <w:iCs w:val="0"/>
            <w:noProof/>
          </w:rPr>
          <w:t>1.</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Country Data</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_Toc170136341 \h </w:instrText>
        </w:r>
        <w:r w:rsidR="00105A85" w:rsidRPr="004147A0">
          <w:rPr>
            <w:noProof/>
            <w:webHidden/>
          </w:rPr>
        </w:r>
        <w:r w:rsidR="00105A85" w:rsidRPr="004147A0">
          <w:rPr>
            <w:noProof/>
            <w:webHidden/>
          </w:rPr>
          <w:fldChar w:fldCharType="separate"/>
        </w:r>
        <w:r w:rsidR="00105A85" w:rsidRPr="004147A0">
          <w:rPr>
            <w:noProof/>
            <w:webHidden/>
          </w:rPr>
          <w:t>4</w:t>
        </w:r>
        <w:r w:rsidR="00105A85" w:rsidRPr="004147A0">
          <w:rPr>
            <w:noProof/>
            <w:webHidden/>
          </w:rPr>
          <w:fldChar w:fldCharType="end"/>
        </w:r>
      </w:hyperlink>
    </w:p>
    <w:p w14:paraId="1B99EA07" w14:textId="6D14944D" w:rsidR="00105A85" w:rsidRPr="004147A0" w:rsidRDefault="00000000" w:rsidP="000C62F1">
      <w:pPr>
        <w:pStyle w:val="TOC1"/>
        <w:rPr>
          <w:rFonts w:eastAsiaTheme="minorEastAsia"/>
          <w:noProof/>
          <w:kern w:val="2"/>
          <w:lang w:eastAsia="en-GB"/>
          <w14:ligatures w14:val="standardContextual"/>
        </w:rPr>
      </w:pPr>
      <w:hyperlink w:anchor="_Toc170136342" w:history="1">
        <w:r w:rsidR="00105A85" w:rsidRPr="004147A0">
          <w:rPr>
            <w:rStyle w:val="Hyperlink"/>
            <w:rFonts w:ascii="Arial" w:hAnsi="Arial"/>
            <w:i w:val="0"/>
            <w:iCs w:val="0"/>
            <w:noProof/>
          </w:rPr>
          <w:t>2.</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Media System; Media and Advertising Markets</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_Toc170136342 \h </w:instrText>
        </w:r>
        <w:r w:rsidR="00105A85" w:rsidRPr="004147A0">
          <w:rPr>
            <w:noProof/>
            <w:webHidden/>
          </w:rPr>
        </w:r>
        <w:r w:rsidR="00105A85" w:rsidRPr="004147A0">
          <w:rPr>
            <w:noProof/>
            <w:webHidden/>
          </w:rPr>
          <w:fldChar w:fldCharType="separate"/>
        </w:r>
        <w:r w:rsidR="00105A85" w:rsidRPr="004147A0">
          <w:rPr>
            <w:noProof/>
            <w:webHidden/>
          </w:rPr>
          <w:t>5</w:t>
        </w:r>
        <w:r w:rsidR="00105A85" w:rsidRPr="004147A0">
          <w:rPr>
            <w:noProof/>
            <w:webHidden/>
          </w:rPr>
          <w:fldChar w:fldCharType="end"/>
        </w:r>
      </w:hyperlink>
    </w:p>
    <w:p w14:paraId="7AB3C2EA" w14:textId="2AF9D6F7" w:rsidR="00105A85" w:rsidRPr="004147A0" w:rsidRDefault="00000000" w:rsidP="000C62F1">
      <w:pPr>
        <w:pStyle w:val="TOC1"/>
        <w:rPr>
          <w:rFonts w:eastAsiaTheme="minorEastAsia"/>
          <w:noProof/>
          <w:kern w:val="2"/>
          <w:lang w:eastAsia="en-GB"/>
          <w14:ligatures w14:val="standardContextual"/>
        </w:rPr>
      </w:pPr>
      <w:hyperlink w:anchor="_Toc170136343" w:history="1">
        <w:r w:rsidR="00105A85" w:rsidRPr="004147A0">
          <w:rPr>
            <w:rStyle w:val="Hyperlink"/>
            <w:rFonts w:ascii="Arial" w:hAnsi="Arial"/>
            <w:i w:val="0"/>
            <w:iCs w:val="0"/>
            <w:noProof/>
          </w:rPr>
          <w:t>3.</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Communications: Legal and Regulatory Framework</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_Toc170136343 \h </w:instrText>
        </w:r>
        <w:r w:rsidR="00105A85" w:rsidRPr="004147A0">
          <w:rPr>
            <w:noProof/>
            <w:webHidden/>
          </w:rPr>
        </w:r>
        <w:r w:rsidR="00105A85" w:rsidRPr="004147A0">
          <w:rPr>
            <w:noProof/>
            <w:webHidden/>
          </w:rPr>
          <w:fldChar w:fldCharType="separate"/>
        </w:r>
        <w:r w:rsidR="00105A85" w:rsidRPr="004147A0">
          <w:rPr>
            <w:noProof/>
            <w:webHidden/>
          </w:rPr>
          <w:t>8</w:t>
        </w:r>
        <w:r w:rsidR="00105A85" w:rsidRPr="004147A0">
          <w:rPr>
            <w:noProof/>
            <w:webHidden/>
          </w:rPr>
          <w:fldChar w:fldCharType="end"/>
        </w:r>
      </w:hyperlink>
    </w:p>
    <w:p w14:paraId="5D4989EF" w14:textId="4BE75E48" w:rsidR="00105A85" w:rsidRPr="004147A0" w:rsidRDefault="00000000" w:rsidP="000C62F1">
      <w:pPr>
        <w:pStyle w:val="TOC1"/>
        <w:rPr>
          <w:rFonts w:eastAsiaTheme="minorEastAsia"/>
          <w:noProof/>
          <w:kern w:val="2"/>
          <w:lang w:eastAsia="en-GB"/>
          <w14:ligatures w14:val="standardContextual"/>
        </w:rPr>
      </w:pPr>
      <w:hyperlink w:anchor="_Toc170136344" w:history="1">
        <w:r w:rsidR="00105A85" w:rsidRPr="004147A0">
          <w:rPr>
            <w:rStyle w:val="Hyperlink"/>
            <w:rFonts w:ascii="Arial" w:hAnsi="Arial"/>
            <w:i w:val="0"/>
            <w:iCs w:val="0"/>
            <w:noProof/>
          </w:rPr>
          <w:t>4.</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Advertising:  Legal and Regulatory Framework</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_Toc170136344 \h </w:instrText>
        </w:r>
        <w:r w:rsidR="00105A85" w:rsidRPr="004147A0">
          <w:rPr>
            <w:noProof/>
            <w:webHidden/>
          </w:rPr>
        </w:r>
        <w:r w:rsidR="00105A85" w:rsidRPr="004147A0">
          <w:rPr>
            <w:noProof/>
            <w:webHidden/>
          </w:rPr>
          <w:fldChar w:fldCharType="separate"/>
        </w:r>
        <w:r w:rsidR="00105A85" w:rsidRPr="004147A0">
          <w:rPr>
            <w:noProof/>
            <w:webHidden/>
          </w:rPr>
          <w:t>13</w:t>
        </w:r>
        <w:r w:rsidR="00105A85" w:rsidRPr="004147A0">
          <w:rPr>
            <w:noProof/>
            <w:webHidden/>
          </w:rPr>
          <w:fldChar w:fldCharType="end"/>
        </w:r>
      </w:hyperlink>
    </w:p>
    <w:p w14:paraId="693D8A7C" w14:textId="106A44F6" w:rsidR="00105A85" w:rsidRPr="004147A0" w:rsidRDefault="00000000" w:rsidP="000C62F1">
      <w:pPr>
        <w:pStyle w:val="TOC1"/>
        <w:rPr>
          <w:rFonts w:eastAsiaTheme="minorEastAsia"/>
          <w:noProof/>
          <w:kern w:val="2"/>
          <w:lang w:eastAsia="en-GB"/>
          <w14:ligatures w14:val="standardContextual"/>
        </w:rPr>
      </w:pPr>
      <w:hyperlink w:anchor="_Toc170136345" w:history="1">
        <w:r w:rsidR="00105A85" w:rsidRPr="004147A0">
          <w:rPr>
            <w:rStyle w:val="Hyperlink"/>
            <w:rFonts w:ascii="Arial" w:hAnsi="Arial"/>
            <w:i w:val="0"/>
            <w:iCs w:val="0"/>
            <w:noProof/>
          </w:rPr>
          <w:t>5.</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Advertising:  Self-regulation</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_Toc170136345 \h </w:instrText>
        </w:r>
        <w:r w:rsidR="00105A85" w:rsidRPr="004147A0">
          <w:rPr>
            <w:noProof/>
            <w:webHidden/>
          </w:rPr>
        </w:r>
        <w:r w:rsidR="00105A85" w:rsidRPr="004147A0">
          <w:rPr>
            <w:noProof/>
            <w:webHidden/>
          </w:rPr>
          <w:fldChar w:fldCharType="separate"/>
        </w:r>
        <w:r w:rsidR="00105A85" w:rsidRPr="004147A0">
          <w:rPr>
            <w:noProof/>
            <w:webHidden/>
          </w:rPr>
          <w:t>23</w:t>
        </w:r>
        <w:r w:rsidR="00105A85" w:rsidRPr="004147A0">
          <w:rPr>
            <w:noProof/>
            <w:webHidden/>
          </w:rPr>
          <w:fldChar w:fldCharType="end"/>
        </w:r>
      </w:hyperlink>
    </w:p>
    <w:p w14:paraId="78F6B021" w14:textId="5BE32904" w:rsidR="00105A85" w:rsidRPr="004147A0" w:rsidRDefault="00000000" w:rsidP="000C62F1">
      <w:pPr>
        <w:pStyle w:val="TOC1"/>
        <w:rPr>
          <w:rFonts w:eastAsiaTheme="minorEastAsia"/>
          <w:noProof/>
          <w:kern w:val="2"/>
          <w:lang w:eastAsia="en-GB"/>
          <w14:ligatures w14:val="standardContextual"/>
        </w:rPr>
      </w:pPr>
      <w:hyperlink w:anchor="_Toc170136346" w:history="1">
        <w:r w:rsidR="00105A85" w:rsidRPr="004147A0">
          <w:rPr>
            <w:rStyle w:val="Hyperlink"/>
            <w:rFonts w:ascii="Arial" w:hAnsi="Arial"/>
            <w:i w:val="0"/>
            <w:iCs w:val="0"/>
            <w:noProof/>
          </w:rPr>
          <w:t>6.</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Branded Content: General legal and regulatory framework</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_Toc170136346 \h </w:instrText>
        </w:r>
        <w:r w:rsidR="00105A85" w:rsidRPr="004147A0">
          <w:rPr>
            <w:noProof/>
            <w:webHidden/>
          </w:rPr>
        </w:r>
        <w:r w:rsidR="00105A85" w:rsidRPr="004147A0">
          <w:rPr>
            <w:noProof/>
            <w:webHidden/>
          </w:rPr>
          <w:fldChar w:fldCharType="separate"/>
        </w:r>
        <w:r w:rsidR="00105A85" w:rsidRPr="004147A0">
          <w:rPr>
            <w:noProof/>
            <w:webHidden/>
          </w:rPr>
          <w:t>32</w:t>
        </w:r>
        <w:r w:rsidR="00105A85" w:rsidRPr="004147A0">
          <w:rPr>
            <w:noProof/>
            <w:webHidden/>
          </w:rPr>
          <w:fldChar w:fldCharType="end"/>
        </w:r>
      </w:hyperlink>
    </w:p>
    <w:p w14:paraId="2ACFD036" w14:textId="7A54C5C1" w:rsidR="00105A85" w:rsidRPr="004147A0" w:rsidRDefault="00000000" w:rsidP="000C62F1">
      <w:pPr>
        <w:pStyle w:val="TOC1"/>
        <w:rPr>
          <w:rFonts w:eastAsiaTheme="minorEastAsia"/>
          <w:noProof/>
          <w:kern w:val="2"/>
          <w:lang w:eastAsia="en-GB"/>
          <w14:ligatures w14:val="standardContextual"/>
        </w:rPr>
      </w:pPr>
      <w:hyperlink w:anchor="_Toc170136347" w:history="1">
        <w:r w:rsidR="00105A85" w:rsidRPr="004147A0">
          <w:rPr>
            <w:rStyle w:val="Hyperlink"/>
            <w:rFonts w:ascii="Arial" w:hAnsi="Arial"/>
            <w:i w:val="0"/>
            <w:iCs w:val="0"/>
            <w:noProof/>
          </w:rPr>
          <w:t>7.</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Publishing</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_Toc170136347 \h </w:instrText>
        </w:r>
        <w:r w:rsidR="00105A85" w:rsidRPr="004147A0">
          <w:rPr>
            <w:noProof/>
            <w:webHidden/>
          </w:rPr>
        </w:r>
        <w:r w:rsidR="00105A85" w:rsidRPr="004147A0">
          <w:rPr>
            <w:noProof/>
            <w:webHidden/>
          </w:rPr>
          <w:fldChar w:fldCharType="separate"/>
        </w:r>
        <w:r w:rsidR="00105A85" w:rsidRPr="004147A0">
          <w:rPr>
            <w:noProof/>
            <w:webHidden/>
          </w:rPr>
          <w:t>36</w:t>
        </w:r>
        <w:r w:rsidR="00105A85" w:rsidRPr="004147A0">
          <w:rPr>
            <w:noProof/>
            <w:webHidden/>
          </w:rPr>
          <w:fldChar w:fldCharType="end"/>
        </w:r>
      </w:hyperlink>
    </w:p>
    <w:p w14:paraId="01736297" w14:textId="6F630C6C" w:rsidR="00105A85" w:rsidRPr="004147A0" w:rsidRDefault="00000000" w:rsidP="000C62F1">
      <w:pPr>
        <w:pStyle w:val="TOC1"/>
        <w:rPr>
          <w:rFonts w:eastAsiaTheme="minorEastAsia"/>
          <w:noProof/>
          <w:kern w:val="2"/>
          <w:lang w:eastAsia="en-GB"/>
          <w14:ligatures w14:val="standardContextual"/>
        </w:rPr>
      </w:pPr>
      <w:hyperlink w:anchor="_Toc170136348" w:history="1">
        <w:r w:rsidR="00105A85" w:rsidRPr="004147A0">
          <w:rPr>
            <w:rStyle w:val="Hyperlink"/>
            <w:rFonts w:ascii="Arial" w:hAnsi="Arial"/>
            <w:i w:val="0"/>
            <w:iCs w:val="0"/>
            <w:noProof/>
          </w:rPr>
          <w:t>8.</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Audiovisual</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_Toc170136348 \h </w:instrText>
        </w:r>
        <w:r w:rsidR="00105A85" w:rsidRPr="004147A0">
          <w:rPr>
            <w:noProof/>
            <w:webHidden/>
          </w:rPr>
        </w:r>
        <w:r w:rsidR="00105A85" w:rsidRPr="004147A0">
          <w:rPr>
            <w:noProof/>
            <w:webHidden/>
          </w:rPr>
          <w:fldChar w:fldCharType="separate"/>
        </w:r>
        <w:r w:rsidR="00105A85" w:rsidRPr="004147A0">
          <w:rPr>
            <w:noProof/>
            <w:webHidden/>
          </w:rPr>
          <w:t>38</w:t>
        </w:r>
        <w:r w:rsidR="00105A85" w:rsidRPr="004147A0">
          <w:rPr>
            <w:noProof/>
            <w:webHidden/>
          </w:rPr>
          <w:fldChar w:fldCharType="end"/>
        </w:r>
      </w:hyperlink>
    </w:p>
    <w:p w14:paraId="4299EC75" w14:textId="1EE70067" w:rsidR="00105A85" w:rsidRPr="004147A0" w:rsidRDefault="00000000" w:rsidP="000C62F1">
      <w:pPr>
        <w:pStyle w:val="TOC1"/>
        <w:rPr>
          <w:rFonts w:eastAsiaTheme="minorEastAsia"/>
          <w:noProof/>
          <w:kern w:val="2"/>
          <w:lang w:eastAsia="en-GB"/>
          <w14:ligatures w14:val="standardContextual"/>
        </w:rPr>
      </w:pPr>
      <w:hyperlink w:anchor="_Toc170136349" w:history="1">
        <w:r w:rsidR="00105A85" w:rsidRPr="004147A0">
          <w:rPr>
            <w:rStyle w:val="Hyperlink"/>
            <w:rFonts w:ascii="Arial" w:hAnsi="Arial"/>
            <w:i w:val="0"/>
            <w:iCs w:val="0"/>
            <w:noProof/>
          </w:rPr>
          <w:t>9.</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Audio</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_Toc170136349 \h </w:instrText>
        </w:r>
        <w:r w:rsidR="00105A85" w:rsidRPr="004147A0">
          <w:rPr>
            <w:noProof/>
            <w:webHidden/>
          </w:rPr>
        </w:r>
        <w:r w:rsidR="00105A85" w:rsidRPr="004147A0">
          <w:rPr>
            <w:noProof/>
            <w:webHidden/>
          </w:rPr>
          <w:fldChar w:fldCharType="separate"/>
        </w:r>
        <w:r w:rsidR="00105A85" w:rsidRPr="004147A0">
          <w:rPr>
            <w:noProof/>
            <w:webHidden/>
          </w:rPr>
          <w:t>39</w:t>
        </w:r>
        <w:r w:rsidR="00105A85" w:rsidRPr="004147A0">
          <w:rPr>
            <w:noProof/>
            <w:webHidden/>
          </w:rPr>
          <w:fldChar w:fldCharType="end"/>
        </w:r>
      </w:hyperlink>
    </w:p>
    <w:p w14:paraId="261127C9" w14:textId="2D5FFA41" w:rsidR="00105A85" w:rsidRPr="004147A0" w:rsidRDefault="00000000" w:rsidP="000C62F1">
      <w:pPr>
        <w:pStyle w:val="TOC1"/>
        <w:rPr>
          <w:rFonts w:eastAsiaTheme="minorEastAsia"/>
          <w:noProof/>
          <w:kern w:val="2"/>
          <w:lang w:eastAsia="en-GB"/>
          <w14:ligatures w14:val="standardContextual"/>
        </w:rPr>
      </w:pPr>
      <w:hyperlink w:anchor="_Toc170136350" w:history="1">
        <w:r w:rsidR="00105A85" w:rsidRPr="004147A0">
          <w:rPr>
            <w:rStyle w:val="Hyperlink"/>
            <w:rFonts w:ascii="Arial" w:hAnsi="Arial"/>
            <w:i w:val="0"/>
            <w:iCs w:val="0"/>
            <w:noProof/>
          </w:rPr>
          <w:t>10.</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Digital Media (online advertising and adtech)</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_Toc170136350 \h </w:instrText>
        </w:r>
        <w:r w:rsidR="00105A85" w:rsidRPr="004147A0">
          <w:rPr>
            <w:noProof/>
            <w:webHidden/>
          </w:rPr>
        </w:r>
        <w:r w:rsidR="00105A85" w:rsidRPr="004147A0">
          <w:rPr>
            <w:noProof/>
            <w:webHidden/>
          </w:rPr>
          <w:fldChar w:fldCharType="separate"/>
        </w:r>
        <w:r w:rsidR="00105A85" w:rsidRPr="004147A0">
          <w:rPr>
            <w:noProof/>
            <w:webHidden/>
          </w:rPr>
          <w:t>41</w:t>
        </w:r>
        <w:r w:rsidR="00105A85" w:rsidRPr="004147A0">
          <w:rPr>
            <w:noProof/>
            <w:webHidden/>
          </w:rPr>
          <w:fldChar w:fldCharType="end"/>
        </w:r>
      </w:hyperlink>
    </w:p>
    <w:p w14:paraId="7B3022CE" w14:textId="7411FA9C" w:rsidR="00105A85" w:rsidRPr="004147A0" w:rsidRDefault="00000000" w:rsidP="000C62F1">
      <w:pPr>
        <w:pStyle w:val="TOC1"/>
        <w:rPr>
          <w:rFonts w:eastAsiaTheme="minorEastAsia"/>
          <w:noProof/>
          <w:kern w:val="2"/>
          <w:lang w:eastAsia="en-GB"/>
          <w14:ligatures w14:val="standardContextual"/>
        </w:rPr>
      </w:pPr>
      <w:hyperlink w:anchor="_Toc170136351" w:history="1">
        <w:r w:rsidR="00105A85" w:rsidRPr="004147A0">
          <w:rPr>
            <w:rStyle w:val="Hyperlink"/>
            <w:rFonts w:ascii="Arial" w:hAnsi="Arial"/>
            <w:i w:val="0"/>
            <w:iCs w:val="0"/>
            <w:noProof/>
          </w:rPr>
          <w:t>11.</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Social Media Marketing</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_Toc170136351 \h </w:instrText>
        </w:r>
        <w:r w:rsidR="00105A85" w:rsidRPr="004147A0">
          <w:rPr>
            <w:noProof/>
            <w:webHidden/>
          </w:rPr>
        </w:r>
        <w:r w:rsidR="00105A85" w:rsidRPr="004147A0">
          <w:rPr>
            <w:noProof/>
            <w:webHidden/>
          </w:rPr>
          <w:fldChar w:fldCharType="separate"/>
        </w:r>
        <w:r w:rsidR="00105A85" w:rsidRPr="004147A0">
          <w:rPr>
            <w:noProof/>
            <w:webHidden/>
          </w:rPr>
          <w:t>43</w:t>
        </w:r>
        <w:r w:rsidR="00105A85" w:rsidRPr="004147A0">
          <w:rPr>
            <w:noProof/>
            <w:webHidden/>
          </w:rPr>
          <w:fldChar w:fldCharType="end"/>
        </w:r>
      </w:hyperlink>
    </w:p>
    <w:p w14:paraId="00B44269" w14:textId="2001EE0C" w:rsidR="00105A85" w:rsidRPr="004147A0" w:rsidRDefault="00000000" w:rsidP="000C62F1">
      <w:pPr>
        <w:pStyle w:val="TOC1"/>
        <w:rPr>
          <w:rFonts w:eastAsiaTheme="minorEastAsia"/>
          <w:noProof/>
          <w:kern w:val="2"/>
          <w:lang w:eastAsia="en-GB"/>
          <w14:ligatures w14:val="standardContextual"/>
        </w:rPr>
      </w:pPr>
      <w:hyperlink w:anchor="_Toc170136352" w:history="1">
        <w:r w:rsidR="00105A85" w:rsidRPr="004147A0">
          <w:rPr>
            <w:rStyle w:val="Hyperlink"/>
            <w:rFonts w:ascii="Arial" w:hAnsi="Arial"/>
            <w:i w:val="0"/>
            <w:iCs w:val="0"/>
            <w:noProof/>
          </w:rPr>
          <w:t>12.</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Outdoor</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_Toc170136352 \h </w:instrText>
        </w:r>
        <w:r w:rsidR="00105A85" w:rsidRPr="004147A0">
          <w:rPr>
            <w:noProof/>
            <w:webHidden/>
          </w:rPr>
        </w:r>
        <w:r w:rsidR="00105A85" w:rsidRPr="004147A0">
          <w:rPr>
            <w:noProof/>
            <w:webHidden/>
          </w:rPr>
          <w:fldChar w:fldCharType="separate"/>
        </w:r>
        <w:r w:rsidR="00105A85" w:rsidRPr="004147A0">
          <w:rPr>
            <w:noProof/>
            <w:webHidden/>
          </w:rPr>
          <w:t>46</w:t>
        </w:r>
        <w:r w:rsidR="00105A85" w:rsidRPr="004147A0">
          <w:rPr>
            <w:noProof/>
            <w:webHidden/>
          </w:rPr>
          <w:fldChar w:fldCharType="end"/>
        </w:r>
      </w:hyperlink>
    </w:p>
    <w:p w14:paraId="1E645624" w14:textId="250356DB" w:rsidR="00105A85" w:rsidRPr="004147A0" w:rsidRDefault="00000000" w:rsidP="000C62F1">
      <w:pPr>
        <w:pStyle w:val="TOC1"/>
        <w:rPr>
          <w:rFonts w:eastAsiaTheme="minorEastAsia"/>
          <w:noProof/>
          <w:kern w:val="2"/>
          <w:lang w:eastAsia="en-GB"/>
          <w14:ligatures w14:val="standardContextual"/>
        </w:rPr>
      </w:pPr>
      <w:hyperlink w:anchor="_Toc170136353" w:history="1">
        <w:r w:rsidR="00105A85" w:rsidRPr="004147A0">
          <w:rPr>
            <w:rStyle w:val="Hyperlink"/>
            <w:rFonts w:ascii="Arial" w:hAnsi="Arial"/>
            <w:i w:val="0"/>
            <w:iCs w:val="0"/>
            <w:noProof/>
          </w:rPr>
          <w:t>13.</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Experiential</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_Toc170136353 \h </w:instrText>
        </w:r>
        <w:r w:rsidR="00105A85" w:rsidRPr="004147A0">
          <w:rPr>
            <w:noProof/>
            <w:webHidden/>
          </w:rPr>
        </w:r>
        <w:r w:rsidR="00105A85" w:rsidRPr="004147A0">
          <w:rPr>
            <w:noProof/>
            <w:webHidden/>
          </w:rPr>
          <w:fldChar w:fldCharType="separate"/>
        </w:r>
        <w:r w:rsidR="00105A85" w:rsidRPr="004147A0">
          <w:rPr>
            <w:noProof/>
            <w:webHidden/>
          </w:rPr>
          <w:t>46</w:t>
        </w:r>
        <w:r w:rsidR="00105A85" w:rsidRPr="004147A0">
          <w:rPr>
            <w:noProof/>
            <w:webHidden/>
          </w:rPr>
          <w:fldChar w:fldCharType="end"/>
        </w:r>
      </w:hyperlink>
    </w:p>
    <w:p w14:paraId="0A496C10" w14:textId="310619AC" w:rsidR="00105A85" w:rsidRPr="004147A0" w:rsidRDefault="00000000" w:rsidP="000C62F1">
      <w:pPr>
        <w:pStyle w:val="TOC1"/>
        <w:rPr>
          <w:rFonts w:eastAsiaTheme="minorEastAsia"/>
          <w:noProof/>
          <w:kern w:val="2"/>
          <w:lang w:eastAsia="en-GB"/>
          <w14:ligatures w14:val="standardContextual"/>
        </w:rPr>
      </w:pPr>
      <w:hyperlink w:anchor="_Toc170136354" w:history="1">
        <w:r w:rsidR="00105A85" w:rsidRPr="004147A0">
          <w:rPr>
            <w:rStyle w:val="Hyperlink"/>
            <w:rFonts w:ascii="Arial" w:hAnsi="Arial"/>
            <w:i w:val="0"/>
            <w:iCs w:val="0"/>
            <w:noProof/>
          </w:rPr>
          <w:t>14.</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Other</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_Toc170136354 \h </w:instrText>
        </w:r>
        <w:r w:rsidR="00105A85" w:rsidRPr="004147A0">
          <w:rPr>
            <w:noProof/>
            <w:webHidden/>
          </w:rPr>
        </w:r>
        <w:r w:rsidR="00105A85" w:rsidRPr="004147A0">
          <w:rPr>
            <w:noProof/>
            <w:webHidden/>
          </w:rPr>
          <w:fldChar w:fldCharType="separate"/>
        </w:r>
        <w:r w:rsidR="00105A85" w:rsidRPr="004147A0">
          <w:rPr>
            <w:noProof/>
            <w:webHidden/>
          </w:rPr>
          <w:t>47</w:t>
        </w:r>
        <w:r w:rsidR="00105A85" w:rsidRPr="004147A0">
          <w:rPr>
            <w:noProof/>
            <w:webHidden/>
          </w:rPr>
          <w:fldChar w:fldCharType="end"/>
        </w:r>
      </w:hyperlink>
    </w:p>
    <w:p w14:paraId="3DC35DA5" w14:textId="5B42EAAA" w:rsidR="00105A85" w:rsidRPr="004147A0" w:rsidRDefault="00000000" w:rsidP="000C62F1">
      <w:pPr>
        <w:pStyle w:val="TOC1"/>
        <w:rPr>
          <w:rFonts w:eastAsiaTheme="minorEastAsia"/>
          <w:noProof/>
          <w:kern w:val="2"/>
          <w:lang w:eastAsia="en-GB"/>
          <w14:ligatures w14:val="standardContextual"/>
        </w:rPr>
      </w:pPr>
      <w:hyperlink w:anchor="_Toc170136355" w:history="1">
        <w:r w:rsidR="00105A85" w:rsidRPr="004147A0">
          <w:rPr>
            <w:rStyle w:val="Hyperlink"/>
            <w:rFonts w:ascii="Arial" w:hAnsi="Arial"/>
            <w:i w:val="0"/>
            <w:iCs w:val="0"/>
            <w:noProof/>
          </w:rPr>
          <w:t>15.</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Convergence</w:t>
        </w:r>
        <w:r w:rsidR="00105A85" w:rsidRPr="004147A0">
          <w:rPr>
            <w:rStyle w:val="Hyperlink"/>
            <w:rFonts w:ascii="Arial" w:hAnsi="Arial"/>
            <w:i w:val="0"/>
            <w:iCs w:val="0"/>
            <w:noProof/>
            <w:highlight w:val="lightGray"/>
          </w:rPr>
          <w:t>5</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_Toc170136355 \h </w:instrText>
        </w:r>
        <w:r w:rsidR="00105A85" w:rsidRPr="004147A0">
          <w:rPr>
            <w:noProof/>
            <w:webHidden/>
          </w:rPr>
        </w:r>
        <w:r w:rsidR="00105A85" w:rsidRPr="004147A0">
          <w:rPr>
            <w:noProof/>
            <w:webHidden/>
          </w:rPr>
          <w:fldChar w:fldCharType="separate"/>
        </w:r>
        <w:r w:rsidR="00105A85" w:rsidRPr="004147A0">
          <w:rPr>
            <w:noProof/>
            <w:webHidden/>
          </w:rPr>
          <w:t>49</w:t>
        </w:r>
        <w:r w:rsidR="00105A85" w:rsidRPr="004147A0">
          <w:rPr>
            <w:noProof/>
            <w:webHidden/>
          </w:rPr>
          <w:fldChar w:fldCharType="end"/>
        </w:r>
      </w:hyperlink>
    </w:p>
    <w:p w14:paraId="0AEC4B23" w14:textId="46A4890A" w:rsidR="00105A85" w:rsidRPr="004147A0" w:rsidRDefault="00000000" w:rsidP="000C62F1">
      <w:pPr>
        <w:pStyle w:val="TOC1"/>
        <w:rPr>
          <w:rFonts w:eastAsiaTheme="minorEastAsia"/>
          <w:noProof/>
          <w:kern w:val="2"/>
          <w:lang w:eastAsia="en-GB"/>
          <w14:ligatures w14:val="standardContextual"/>
        </w:rPr>
      </w:pPr>
      <w:hyperlink w:anchor="_Toc170136356" w:history="1">
        <w:r w:rsidR="00105A85" w:rsidRPr="004147A0">
          <w:rPr>
            <w:rStyle w:val="Hyperlink"/>
            <w:rFonts w:ascii="Arial" w:hAnsi="Arial"/>
            <w:i w:val="0"/>
            <w:iCs w:val="0"/>
            <w:noProof/>
          </w:rPr>
          <w:t>16.</w:t>
        </w:r>
        <w:r w:rsidR="00105A85" w:rsidRPr="004147A0">
          <w:rPr>
            <w:rFonts w:eastAsiaTheme="minorEastAsia"/>
            <w:noProof/>
            <w:kern w:val="2"/>
            <w:lang w:eastAsia="en-GB"/>
            <w14:ligatures w14:val="standardContextual"/>
          </w:rPr>
          <w:tab/>
        </w:r>
        <w:r w:rsidR="00105A85" w:rsidRPr="004147A0">
          <w:rPr>
            <w:rStyle w:val="Hyperlink"/>
            <w:rFonts w:ascii="Arial" w:hAnsi="Arial"/>
            <w:i w:val="0"/>
            <w:iCs w:val="0"/>
            <w:noProof/>
          </w:rPr>
          <w:t>Analysis and Evaluation</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_Toc170136356 \h </w:instrText>
        </w:r>
        <w:r w:rsidR="00105A85" w:rsidRPr="004147A0">
          <w:rPr>
            <w:noProof/>
            <w:webHidden/>
          </w:rPr>
        </w:r>
        <w:r w:rsidR="00105A85" w:rsidRPr="004147A0">
          <w:rPr>
            <w:noProof/>
            <w:webHidden/>
          </w:rPr>
          <w:fldChar w:fldCharType="separate"/>
        </w:r>
        <w:r w:rsidR="00105A85" w:rsidRPr="004147A0">
          <w:rPr>
            <w:noProof/>
            <w:webHidden/>
          </w:rPr>
          <w:t>50</w:t>
        </w:r>
        <w:r w:rsidR="00105A85" w:rsidRPr="004147A0">
          <w:rPr>
            <w:noProof/>
            <w:webHidden/>
          </w:rPr>
          <w:fldChar w:fldCharType="end"/>
        </w:r>
      </w:hyperlink>
    </w:p>
    <w:p w14:paraId="260B44D3" w14:textId="7D5B01B1" w:rsidR="00105A85" w:rsidRPr="004147A0" w:rsidRDefault="00000000" w:rsidP="000C62F1">
      <w:pPr>
        <w:pStyle w:val="TOC1"/>
        <w:rPr>
          <w:rFonts w:eastAsiaTheme="minorEastAsia"/>
          <w:noProof/>
          <w:kern w:val="2"/>
          <w:lang w:eastAsia="en-GB"/>
          <w14:ligatures w14:val="standardContextual"/>
        </w:rPr>
      </w:pPr>
      <w:hyperlink w:anchor="_Toc170136357" w:history="1">
        <w:r w:rsidR="00105A85" w:rsidRPr="004147A0">
          <w:rPr>
            <w:rStyle w:val="Hyperlink"/>
            <w:rFonts w:ascii="Arial" w:hAnsi="Arial"/>
            <w:i w:val="0"/>
            <w:iCs w:val="0"/>
            <w:noProof/>
          </w:rPr>
          <w:t>Authorship and Acknowledgements</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_Toc170136357 \h </w:instrText>
        </w:r>
        <w:r w:rsidR="00105A85" w:rsidRPr="004147A0">
          <w:rPr>
            <w:noProof/>
            <w:webHidden/>
          </w:rPr>
        </w:r>
        <w:r w:rsidR="00105A85" w:rsidRPr="004147A0">
          <w:rPr>
            <w:noProof/>
            <w:webHidden/>
          </w:rPr>
          <w:fldChar w:fldCharType="separate"/>
        </w:r>
        <w:r w:rsidR="00105A85" w:rsidRPr="004147A0">
          <w:rPr>
            <w:noProof/>
            <w:webHidden/>
          </w:rPr>
          <w:t>52</w:t>
        </w:r>
        <w:r w:rsidR="00105A85" w:rsidRPr="004147A0">
          <w:rPr>
            <w:noProof/>
            <w:webHidden/>
          </w:rPr>
          <w:fldChar w:fldCharType="end"/>
        </w:r>
      </w:hyperlink>
    </w:p>
    <w:p w14:paraId="195C1498" w14:textId="7C2FB068" w:rsidR="00105A85" w:rsidRPr="004147A0" w:rsidRDefault="00000000" w:rsidP="000C62F1">
      <w:pPr>
        <w:pStyle w:val="TOC1"/>
        <w:rPr>
          <w:rFonts w:eastAsiaTheme="minorEastAsia"/>
          <w:noProof/>
          <w:kern w:val="2"/>
          <w:lang w:eastAsia="en-GB"/>
          <w14:ligatures w14:val="standardContextual"/>
        </w:rPr>
      </w:pPr>
      <w:hyperlink w:anchor="_Toc170136358" w:history="1">
        <w:r w:rsidR="00105A85" w:rsidRPr="004147A0">
          <w:rPr>
            <w:rStyle w:val="Hyperlink"/>
            <w:rFonts w:ascii="Arial" w:hAnsi="Arial"/>
            <w:i w:val="0"/>
            <w:iCs w:val="0"/>
            <w:noProof/>
          </w:rPr>
          <w:t>References</w:t>
        </w:r>
        <w:r w:rsidR="00105A85" w:rsidRPr="004147A0">
          <w:rPr>
            <w:noProof/>
            <w:webHidden/>
          </w:rPr>
          <w:tab/>
        </w:r>
        <w:r w:rsidR="00105A85" w:rsidRPr="004147A0">
          <w:rPr>
            <w:noProof/>
            <w:webHidden/>
          </w:rPr>
          <w:fldChar w:fldCharType="begin"/>
        </w:r>
        <w:r w:rsidR="00105A85" w:rsidRPr="004147A0">
          <w:rPr>
            <w:noProof/>
            <w:webHidden/>
          </w:rPr>
          <w:instrText xml:space="preserve"> PAGEREF _Toc170136358 \h </w:instrText>
        </w:r>
        <w:r w:rsidR="00105A85" w:rsidRPr="004147A0">
          <w:rPr>
            <w:noProof/>
            <w:webHidden/>
          </w:rPr>
        </w:r>
        <w:r w:rsidR="00105A85" w:rsidRPr="004147A0">
          <w:rPr>
            <w:noProof/>
            <w:webHidden/>
          </w:rPr>
          <w:fldChar w:fldCharType="separate"/>
        </w:r>
        <w:r w:rsidR="00105A85" w:rsidRPr="004147A0">
          <w:rPr>
            <w:noProof/>
            <w:webHidden/>
          </w:rPr>
          <w:t>53</w:t>
        </w:r>
        <w:r w:rsidR="00105A85" w:rsidRPr="004147A0">
          <w:rPr>
            <w:noProof/>
            <w:webHidden/>
          </w:rPr>
          <w:fldChar w:fldCharType="end"/>
        </w:r>
      </w:hyperlink>
    </w:p>
    <w:p w14:paraId="5B584CEF" w14:textId="7C8EB8B2" w:rsidR="008C19F4" w:rsidRPr="004147A0" w:rsidRDefault="00105A85" w:rsidP="004147A0">
      <w:pPr>
        <w:spacing w:line="360" w:lineRule="auto"/>
        <w:rPr>
          <w:rFonts w:eastAsia="Times New Roman" w:cs="Arial"/>
          <w:b/>
          <w:bCs/>
          <w:color w:val="767171"/>
          <w:sz w:val="36"/>
          <w:szCs w:val="36"/>
          <w:shd w:val="clear" w:color="auto" w:fill="FFFFFF"/>
        </w:rPr>
      </w:pPr>
      <w:r w:rsidRPr="004147A0">
        <w:rPr>
          <w:rFonts w:cs="Arial"/>
          <w:sz w:val="24"/>
          <w:szCs w:val="24"/>
        </w:rPr>
        <w:fldChar w:fldCharType="end"/>
      </w:r>
      <w:r w:rsidR="008C19F4" w:rsidRPr="004147A0">
        <w:rPr>
          <w:rFonts w:cs="Arial"/>
        </w:rPr>
        <w:br w:type="page"/>
      </w:r>
    </w:p>
    <w:p w14:paraId="3B870BC7" w14:textId="77777777" w:rsidR="00E12DED" w:rsidRDefault="00E12DED" w:rsidP="00E12DED">
      <w:pPr>
        <w:pStyle w:val="SectionHead"/>
        <w:numPr>
          <w:ilvl w:val="0"/>
          <w:numId w:val="0"/>
        </w:numPr>
      </w:pPr>
      <w:bookmarkStart w:id="3" w:name="_Toc169692774"/>
      <w:bookmarkStart w:id="4" w:name="_Toc170136340"/>
      <w:r w:rsidRPr="00E74877">
        <w:lastRenderedPageBreak/>
        <w:t>Introduction</w:t>
      </w:r>
      <w:bookmarkEnd w:id="3"/>
      <w:bookmarkEnd w:id="4"/>
    </w:p>
    <w:p w14:paraId="46DBA13E" w14:textId="77777777" w:rsidR="00E12DED" w:rsidRDefault="00E12DED" w:rsidP="00E12DED"/>
    <w:p w14:paraId="72C59A17" w14:textId="77777777" w:rsidR="00E12DED" w:rsidRDefault="00E12DED" w:rsidP="00E12DED">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1B56B01" w14:textId="77777777" w:rsidR="00E12DED" w:rsidRDefault="00E12DED" w:rsidP="00E12DED">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47D6C893" w14:textId="77777777" w:rsidR="00E12DED" w:rsidRDefault="00E12DED" w:rsidP="00E12DED">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15D9869F" w14:textId="77777777" w:rsidR="00E12DED" w:rsidRDefault="00E12DED" w:rsidP="00E12DED">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550E45B9" w14:textId="77777777" w:rsidR="00E12DED" w:rsidRDefault="00E12DED" w:rsidP="00E12DED">
      <w:pPr>
        <w:rPr>
          <w:rFonts w:ascii="Helvetica Neue" w:hAnsi="Helvetica Neue"/>
        </w:rPr>
      </w:pPr>
      <w:r>
        <w:rPr>
          <w:rFonts w:ascii="Helvetica Neue" w:hAnsi="Helvetica Neue"/>
        </w:rPr>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1F959A62" w14:textId="77777777" w:rsidR="00E12DED" w:rsidRDefault="00E12DED" w:rsidP="00E12DED">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p>
    <w:p w14:paraId="5137DCA9" w14:textId="0C7EFA76" w:rsidR="008C19F4" w:rsidRDefault="008C19F4">
      <w:pPr>
        <w:rPr>
          <w:rFonts w:eastAsia="Times New Roman" w:cs="Arial"/>
          <w:b/>
          <w:bCs/>
          <w:color w:val="767171"/>
          <w:sz w:val="36"/>
          <w:szCs w:val="36"/>
          <w:shd w:val="clear" w:color="auto" w:fill="FFFFFF"/>
        </w:rPr>
      </w:pPr>
    </w:p>
    <w:p w14:paraId="0F018C8F" w14:textId="77777777" w:rsidR="00E12DED" w:rsidRDefault="00E12DED">
      <w:pPr>
        <w:rPr>
          <w:rFonts w:eastAsia="Times New Roman" w:cs="Arial"/>
          <w:b/>
          <w:bCs/>
          <w:color w:val="767171"/>
          <w:sz w:val="36"/>
          <w:szCs w:val="36"/>
          <w:shd w:val="clear" w:color="auto" w:fill="FFFFFF"/>
        </w:rPr>
      </w:pPr>
      <w:r>
        <w:br w:type="page"/>
      </w:r>
    </w:p>
    <w:p w14:paraId="64F25576" w14:textId="1AF6F429" w:rsidR="00FD6CC1" w:rsidRDefault="00D97AF7" w:rsidP="00FD6CC1">
      <w:pPr>
        <w:pStyle w:val="SubtitleH2"/>
      </w:pPr>
      <w:r w:rsidRPr="00FD6CC1">
        <w:lastRenderedPageBreak/>
        <w:t>Sections 1-3: Media System</w:t>
      </w:r>
    </w:p>
    <w:p w14:paraId="3FC58BE0" w14:textId="77777777" w:rsidR="005A06EA" w:rsidRPr="005A06EA" w:rsidRDefault="00D97AF7" w:rsidP="005A06EA">
      <w:pPr>
        <w:pStyle w:val="SectionHead"/>
      </w:pPr>
      <w:bookmarkStart w:id="5" w:name="_Toc170136341"/>
      <w:r w:rsidRPr="005A06EA">
        <w:t>Country Data</w:t>
      </w:r>
      <w:bookmarkEnd w:id="5"/>
      <w:r w:rsidRPr="005A06EA">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0F492D" w14:paraId="24ECEAE9"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893DB75" w14:textId="77777777" w:rsidR="00FE5BD4" w:rsidRPr="00424EE4" w:rsidRDefault="00D97AF7" w:rsidP="00CF110E">
            <w:pPr>
              <w:pStyle w:val="Tableheadings"/>
            </w:pPr>
            <w:r w:rsidRPr="00424EE4">
              <w:rPr>
                <w:b/>
                <w:bCs/>
              </w:rPr>
              <w:t>Item</w:t>
            </w:r>
          </w:p>
        </w:tc>
        <w:tc>
          <w:tcPr>
            <w:tcW w:w="2126" w:type="dxa"/>
            <w:tcBorders>
              <w:bottom w:val="none" w:sz="0" w:space="0" w:color="auto"/>
            </w:tcBorders>
          </w:tcPr>
          <w:p w14:paraId="7B56CB20" w14:textId="77777777" w:rsidR="00FE5BD4" w:rsidRPr="00424EE4" w:rsidRDefault="00D97AF7" w:rsidP="00CF110E">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Subject</w:t>
            </w:r>
          </w:p>
        </w:tc>
        <w:tc>
          <w:tcPr>
            <w:tcW w:w="2127" w:type="dxa"/>
            <w:tcBorders>
              <w:bottom w:val="none" w:sz="0" w:space="0" w:color="auto"/>
            </w:tcBorders>
          </w:tcPr>
          <w:p w14:paraId="4BBB9099" w14:textId="77777777" w:rsidR="00FE5BD4" w:rsidRPr="00424EE4" w:rsidRDefault="00D97AF7" w:rsidP="00CF110E">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 xml:space="preserve">Classification </w:t>
            </w:r>
          </w:p>
        </w:tc>
        <w:tc>
          <w:tcPr>
            <w:tcW w:w="5670" w:type="dxa"/>
            <w:tcBorders>
              <w:bottom w:val="none" w:sz="0" w:space="0" w:color="auto"/>
            </w:tcBorders>
          </w:tcPr>
          <w:p w14:paraId="75A70EBA" w14:textId="77777777" w:rsidR="00FE5BD4" w:rsidRPr="00424EE4" w:rsidRDefault="00D97AF7" w:rsidP="00CF110E">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Description</w:t>
            </w:r>
          </w:p>
        </w:tc>
      </w:tr>
      <w:tr w:rsidR="000F492D" w14:paraId="6F22AE9C"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FFCB181" w14:textId="77777777" w:rsidR="00FE5BD4" w:rsidRPr="00203503" w:rsidRDefault="00D97AF7" w:rsidP="00CF110E">
            <w:pPr>
              <w:spacing w:line="276" w:lineRule="auto"/>
              <w:rPr>
                <w:rFonts w:cs="Arial"/>
                <w:color w:val="747474" w:themeColor="background2" w:themeShade="80"/>
              </w:rPr>
            </w:pPr>
            <w:r>
              <w:rPr>
                <w:rFonts w:cs="Arial"/>
                <w:color w:val="747474" w:themeColor="background2" w:themeShade="80"/>
              </w:rPr>
              <w:t>1.1</w:t>
            </w:r>
          </w:p>
        </w:tc>
        <w:tc>
          <w:tcPr>
            <w:tcW w:w="2126" w:type="dxa"/>
            <w:tcBorders>
              <w:top w:val="none" w:sz="0" w:space="0" w:color="auto"/>
              <w:bottom w:val="none" w:sz="0" w:space="0" w:color="auto"/>
            </w:tcBorders>
          </w:tcPr>
          <w:p w14:paraId="0C3278EF" w14:textId="77777777" w:rsidR="00FE5BD4" w:rsidRPr="000004F6" w:rsidRDefault="00D97AF7" w:rsidP="00CF110E">
            <w:pPr>
              <w:pStyle w:val="Subjectcolumntext"/>
              <w:cnfStyle w:val="000000100000" w:firstRow="0" w:lastRow="0" w:firstColumn="0" w:lastColumn="0" w:oddVBand="0" w:evenVBand="0" w:oddHBand="1" w:evenHBand="0" w:firstRowFirstColumn="0" w:firstRowLastColumn="0" w:lastRowFirstColumn="0" w:lastRowLastColumn="0"/>
            </w:pPr>
            <w:r w:rsidRPr="00102F13">
              <w:t>Geographical Area</w:t>
            </w:r>
          </w:p>
        </w:tc>
        <w:tc>
          <w:tcPr>
            <w:tcW w:w="2127" w:type="dxa"/>
            <w:tcBorders>
              <w:top w:val="none" w:sz="0" w:space="0" w:color="auto"/>
              <w:bottom w:val="none" w:sz="0" w:space="0" w:color="auto"/>
            </w:tcBorders>
          </w:tcPr>
          <w:p w14:paraId="07561EDA" w14:textId="77777777" w:rsidR="00FE5BD4" w:rsidRPr="00745C48" w:rsidRDefault="00D97AF7" w:rsidP="00CF110E">
            <w:pPr>
              <w:pStyle w:val="Classificationcolumntext"/>
              <w:cnfStyle w:val="000000100000" w:firstRow="0" w:lastRow="0" w:firstColumn="0" w:lastColumn="0" w:oddVBand="0" w:evenVBand="0" w:oddHBand="1" w:evenHBand="0" w:firstRowFirstColumn="0" w:firstRowLastColumn="0" w:lastRowFirstColumn="0" w:lastRowLastColumn="0"/>
            </w:pPr>
            <w:r w:rsidRPr="002F54AC">
              <w:rPr>
                <w:color w:val="000000" w:themeColor="text1"/>
              </w:rPr>
              <w:t xml:space="preserve">505,370 sq km </w:t>
            </w:r>
            <w:r>
              <w:br/>
              <w:t>(</w:t>
            </w:r>
            <w:r>
              <w:rPr>
                <w:color w:val="0563C1"/>
                <w:u w:val="single"/>
              </w:rPr>
              <w:t>CIA, 2024</w:t>
            </w:r>
            <w:r>
              <w:t>)</w:t>
            </w:r>
          </w:p>
        </w:tc>
        <w:tc>
          <w:tcPr>
            <w:tcW w:w="5670" w:type="dxa"/>
            <w:tcBorders>
              <w:top w:val="none" w:sz="0" w:space="0" w:color="auto"/>
              <w:bottom w:val="none" w:sz="0" w:space="0" w:color="auto"/>
            </w:tcBorders>
          </w:tcPr>
          <w:p w14:paraId="0DEA4340" w14:textId="77777777" w:rsidR="00310047" w:rsidRPr="0016559B" w:rsidRDefault="00310047" w:rsidP="00CF110E">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2670BCB7"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919800" w14:textId="77777777" w:rsidR="00FE5BD4" w:rsidRPr="00203503" w:rsidRDefault="00D97AF7" w:rsidP="00CF110E">
            <w:pPr>
              <w:spacing w:line="276" w:lineRule="auto"/>
              <w:rPr>
                <w:rFonts w:cs="Arial"/>
                <w:color w:val="3A3A3A" w:themeColor="background2" w:themeShade="40"/>
              </w:rPr>
            </w:pPr>
            <w:r>
              <w:rPr>
                <w:rFonts w:cs="Arial"/>
                <w:color w:val="747474" w:themeColor="background2" w:themeShade="80"/>
              </w:rPr>
              <w:t>1.2</w:t>
            </w:r>
          </w:p>
        </w:tc>
        <w:tc>
          <w:tcPr>
            <w:tcW w:w="2126" w:type="dxa"/>
          </w:tcPr>
          <w:p w14:paraId="0C80FF43" w14:textId="77777777" w:rsidR="00FE5BD4" w:rsidRDefault="00D97AF7" w:rsidP="00CF110E">
            <w:pPr>
              <w:pStyle w:val="Subjectcolumntext"/>
              <w:cnfStyle w:val="000000000000" w:firstRow="0" w:lastRow="0" w:firstColumn="0" w:lastColumn="0" w:oddVBand="0" w:evenVBand="0" w:oddHBand="0" w:evenHBand="0" w:firstRowFirstColumn="0" w:firstRowLastColumn="0" w:lastRowFirstColumn="0" w:lastRowLastColumn="0"/>
            </w:pPr>
            <w:r w:rsidRPr="00102F13">
              <w:t>Population</w:t>
            </w:r>
          </w:p>
        </w:tc>
        <w:tc>
          <w:tcPr>
            <w:tcW w:w="2127" w:type="dxa"/>
          </w:tcPr>
          <w:p w14:paraId="4BCD56DA" w14:textId="77777777" w:rsidR="00AB1061" w:rsidRPr="002F54AC" w:rsidRDefault="00D97AF7" w:rsidP="00CF110E">
            <w:pPr>
              <w:pStyle w:val="Classificationcolumntext"/>
              <w:cnfStyle w:val="000000000000" w:firstRow="0" w:lastRow="0" w:firstColumn="0" w:lastColumn="0" w:oddVBand="0" w:evenVBand="0" w:oddHBand="0" w:evenHBand="0" w:firstRowFirstColumn="0" w:firstRowLastColumn="0" w:lastRowFirstColumn="0" w:lastRowLastColumn="0"/>
              <w:rPr>
                <w:color w:val="000000" w:themeColor="text1"/>
              </w:rPr>
            </w:pPr>
            <w:r w:rsidRPr="002F54AC">
              <w:rPr>
                <w:color w:val="000000" w:themeColor="text1"/>
              </w:rPr>
              <w:t>47,222,613 (2023 est.) (CIA, 2024).</w:t>
            </w:r>
          </w:p>
          <w:p w14:paraId="1F89B4CD" w14:textId="77777777" w:rsidR="00FE5BD4" w:rsidRDefault="00FE5BD4" w:rsidP="00CF110E">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E9DA84" w14:textId="77777777" w:rsidR="00FE5BD4" w:rsidRDefault="00FE5BD4" w:rsidP="00CF110E">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0F492D" w14:paraId="24AFE8D4"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E048C40" w14:textId="77777777" w:rsidR="00FE5BD4" w:rsidRPr="00203503" w:rsidRDefault="00D97AF7" w:rsidP="00CF110E">
            <w:pPr>
              <w:spacing w:line="276" w:lineRule="auto"/>
              <w:rPr>
                <w:rFonts w:cs="Arial"/>
                <w:color w:val="747474" w:themeColor="background2" w:themeShade="80"/>
              </w:rPr>
            </w:pPr>
            <w:r>
              <w:rPr>
                <w:rFonts w:cs="Arial"/>
                <w:color w:val="747474" w:themeColor="background2" w:themeShade="80"/>
              </w:rPr>
              <w:t>1.3</w:t>
            </w:r>
          </w:p>
        </w:tc>
        <w:tc>
          <w:tcPr>
            <w:tcW w:w="2126" w:type="dxa"/>
            <w:tcBorders>
              <w:top w:val="none" w:sz="0" w:space="0" w:color="auto"/>
              <w:bottom w:val="none" w:sz="0" w:space="0" w:color="auto"/>
            </w:tcBorders>
          </w:tcPr>
          <w:p w14:paraId="1F855B71" w14:textId="77777777" w:rsidR="00FE5BD4" w:rsidRDefault="00D97AF7" w:rsidP="00CF110E">
            <w:pPr>
              <w:pStyle w:val="Subjectcolumntext"/>
              <w:cnfStyle w:val="000000100000" w:firstRow="0" w:lastRow="0" w:firstColumn="0" w:lastColumn="0" w:oddVBand="0" w:evenVBand="0" w:oddHBand="1" w:evenHBand="0" w:firstRowFirstColumn="0" w:firstRowLastColumn="0" w:lastRowFirstColumn="0" w:lastRowLastColumn="0"/>
            </w:pPr>
            <w:r w:rsidRPr="00102F13">
              <w:t>High/low income</w:t>
            </w:r>
          </w:p>
        </w:tc>
        <w:tc>
          <w:tcPr>
            <w:tcW w:w="2127" w:type="dxa"/>
            <w:tcBorders>
              <w:top w:val="none" w:sz="0" w:space="0" w:color="auto"/>
              <w:bottom w:val="none" w:sz="0" w:space="0" w:color="auto"/>
            </w:tcBorders>
          </w:tcPr>
          <w:p w14:paraId="5A11B44C" w14:textId="77777777" w:rsidR="00FE5BD4" w:rsidRDefault="00D97AF7" w:rsidP="00CF110E">
            <w:pPr>
              <w:pStyle w:val="Classificationcolumntext"/>
              <w:cnfStyle w:val="000000100000" w:firstRow="0" w:lastRow="0" w:firstColumn="0" w:lastColumn="0" w:oddVBand="0" w:evenVBand="0" w:oddHBand="1" w:evenHBand="0" w:firstRowFirstColumn="0" w:firstRowLastColumn="0" w:lastRowFirstColumn="0" w:lastRowLastColumn="0"/>
            </w:pPr>
            <w:r w:rsidRPr="00513680">
              <w:rPr>
                <w:color w:val="000000" w:themeColor="text1"/>
              </w:rPr>
              <w:t>High income</w:t>
            </w:r>
          </w:p>
        </w:tc>
        <w:tc>
          <w:tcPr>
            <w:tcW w:w="5670" w:type="dxa"/>
            <w:tcBorders>
              <w:top w:val="none" w:sz="0" w:space="0" w:color="auto"/>
              <w:bottom w:val="none" w:sz="0" w:space="0" w:color="auto"/>
            </w:tcBorders>
          </w:tcPr>
          <w:p w14:paraId="743EB4ED" w14:textId="77777777" w:rsidR="00FE5BD4" w:rsidRPr="0016559B" w:rsidRDefault="00FE5BD4" w:rsidP="00CF110E">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7C32135F"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B83C2E5" w14:textId="77777777" w:rsidR="00A521A0" w:rsidRPr="00203503" w:rsidRDefault="00D97AF7" w:rsidP="00A521A0">
            <w:pPr>
              <w:spacing w:line="276" w:lineRule="auto"/>
              <w:rPr>
                <w:rFonts w:cs="Arial"/>
                <w:color w:val="747474" w:themeColor="background2" w:themeShade="80"/>
              </w:rPr>
            </w:pPr>
            <w:r>
              <w:rPr>
                <w:rFonts w:cs="Arial"/>
                <w:color w:val="747474" w:themeColor="background2" w:themeShade="80"/>
              </w:rPr>
              <w:t>1.4</w:t>
            </w:r>
          </w:p>
        </w:tc>
        <w:tc>
          <w:tcPr>
            <w:tcW w:w="2126" w:type="dxa"/>
          </w:tcPr>
          <w:p w14:paraId="58D86F4E" w14:textId="77777777" w:rsidR="00A521A0" w:rsidRDefault="00D97AF7" w:rsidP="00A521A0">
            <w:pPr>
              <w:pStyle w:val="Subjectcolumntext"/>
              <w:cnfStyle w:val="000000000000" w:firstRow="0" w:lastRow="0" w:firstColumn="0" w:lastColumn="0" w:oddVBand="0" w:evenVBand="0" w:oddHBand="0" w:evenHBand="0" w:firstRowFirstColumn="0" w:firstRowLastColumn="0" w:lastRowFirstColumn="0" w:lastRowLastColumn="0"/>
            </w:pPr>
            <w:r>
              <w:t xml:space="preserve">Real GDP </w:t>
            </w:r>
            <w:r>
              <w:br/>
              <w:t xml:space="preserve">per capita </w:t>
            </w:r>
          </w:p>
        </w:tc>
        <w:tc>
          <w:tcPr>
            <w:tcW w:w="2127" w:type="dxa"/>
          </w:tcPr>
          <w:p w14:paraId="0232F24F" w14:textId="77777777" w:rsidR="00A521A0" w:rsidRDefault="00D97AF7"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9A4FA6">
              <w:rPr>
                <w:color w:val="000000" w:themeColor="text1"/>
              </w:rPr>
              <w:t xml:space="preserve">$37,900 (2021 est.) </w:t>
            </w:r>
            <w:r>
              <w:t>(</w:t>
            </w:r>
            <w:hyperlink r:id="rId13" w:history="1">
              <w:r>
                <w:rPr>
                  <w:color w:val="0563C1"/>
                  <w:u w:val="single"/>
                </w:rPr>
                <w:t>CIA 2023</w:t>
              </w:r>
            </w:hyperlink>
            <w:r>
              <w:t>)</w:t>
            </w:r>
          </w:p>
        </w:tc>
        <w:tc>
          <w:tcPr>
            <w:tcW w:w="5670" w:type="dxa"/>
          </w:tcPr>
          <w:p w14:paraId="7786748C" w14:textId="77777777" w:rsidR="00A521A0" w:rsidRPr="0016559B" w:rsidRDefault="00A521A0" w:rsidP="00A521A0">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0F492D" w14:paraId="2B5047E6"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81E25AA" w14:textId="77777777" w:rsidR="00A521A0" w:rsidRPr="00203503" w:rsidRDefault="00D97AF7" w:rsidP="00A521A0">
            <w:pPr>
              <w:spacing w:line="276" w:lineRule="auto"/>
              <w:rPr>
                <w:rFonts w:cs="Arial"/>
                <w:color w:val="747474" w:themeColor="background2" w:themeShade="80"/>
              </w:rPr>
            </w:pPr>
            <w:r>
              <w:rPr>
                <w:rFonts w:cs="Arial"/>
                <w:color w:val="747474" w:themeColor="background2" w:themeShade="80"/>
              </w:rPr>
              <w:t>1.5</w:t>
            </w:r>
          </w:p>
        </w:tc>
        <w:tc>
          <w:tcPr>
            <w:tcW w:w="2126" w:type="dxa"/>
            <w:tcBorders>
              <w:top w:val="none" w:sz="0" w:space="0" w:color="auto"/>
              <w:bottom w:val="none" w:sz="0" w:space="0" w:color="auto"/>
            </w:tcBorders>
          </w:tcPr>
          <w:p w14:paraId="2797B1DE" w14:textId="77777777" w:rsidR="00A521A0" w:rsidRPr="00310047" w:rsidRDefault="00D97AF7" w:rsidP="00A521A0">
            <w:pPr>
              <w:pStyle w:val="Subjectcolumntext"/>
              <w:cnfStyle w:val="000000100000" w:firstRow="0" w:lastRow="0" w:firstColumn="0" w:lastColumn="0" w:oddVBand="0" w:evenVBand="0" w:oddHBand="1" w:evenHBand="0" w:firstRowFirstColumn="0" w:firstRowLastColumn="0" w:lastRowFirstColumn="0" w:lastRowLastColumn="0"/>
              <w:rPr>
                <w:b w:val="0"/>
                <w:bCs w:val="0"/>
              </w:rPr>
            </w:pPr>
            <w:r w:rsidRPr="00310047">
              <w:t>Languages</w:t>
            </w:r>
            <w:r w:rsidRPr="00310047">
              <w:rPr>
                <w:b w:val="0"/>
                <w:bCs w:val="0"/>
              </w:rPr>
              <w:t xml:space="preserve"> (official)</w:t>
            </w:r>
          </w:p>
        </w:tc>
        <w:tc>
          <w:tcPr>
            <w:tcW w:w="2127" w:type="dxa"/>
            <w:tcBorders>
              <w:top w:val="none" w:sz="0" w:space="0" w:color="auto"/>
              <w:bottom w:val="none" w:sz="0" w:space="0" w:color="auto"/>
            </w:tcBorders>
          </w:tcPr>
          <w:p w14:paraId="018F5397" w14:textId="77777777" w:rsidR="00A521A0" w:rsidRDefault="00A521A0" w:rsidP="00A521A0">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2867556" w14:textId="77777777" w:rsidR="00A521A0" w:rsidRPr="0016559B" w:rsidRDefault="00D97AF7" w:rsidP="00FC3565">
            <w:pPr>
              <w:cnfStyle w:val="000000100000" w:firstRow="0" w:lastRow="0" w:firstColumn="0" w:lastColumn="0" w:oddVBand="0" w:evenVBand="0" w:oddHBand="1" w:evenHBand="0" w:firstRowFirstColumn="0" w:firstRowLastColumn="0" w:lastRowFirstColumn="0" w:lastRowLastColumn="0"/>
              <w:rPr>
                <w:rFonts w:cs="Arial"/>
              </w:rPr>
            </w:pPr>
            <w:r>
              <w:t>Castilian Spanish (official nationwide) 74%, Catalan (official in Catalonia, the Balearic Islands, and the Valencian Community (where it is known as Valencian) 17%, Galician (official in Galicia) 7%, Basque (official in the Basque Country and in the Basque-speaking area of Navarre) 2%, Aranese (official in the northwest corner of Catalonia (Vall d'Aran) along with Catalan, &lt;5,000 speakers); note - Aragonese, Aranese Asturian, Basque, Calo, Catalan, Galician, and Valencian are recognized as regional languages under the European Charter for Regional or Minority Languages (</w:t>
            </w:r>
            <w:hyperlink r:id="rId14" w:history="1">
              <w:r>
                <w:rPr>
                  <w:color w:val="0563C1"/>
                  <w:u w:val="single"/>
                </w:rPr>
                <w:t>CIA 2023</w:t>
              </w:r>
            </w:hyperlink>
            <w:r>
              <w:t>)</w:t>
            </w:r>
          </w:p>
        </w:tc>
      </w:tr>
      <w:tr w:rsidR="000F492D" w14:paraId="7498A603"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E317E6" w14:textId="77777777" w:rsidR="00E954D9" w:rsidRPr="00203503" w:rsidRDefault="00D97AF7" w:rsidP="00E954D9">
            <w:pPr>
              <w:spacing w:line="276" w:lineRule="auto"/>
              <w:rPr>
                <w:rFonts w:cs="Arial"/>
                <w:color w:val="747474" w:themeColor="background2" w:themeShade="80"/>
              </w:rPr>
            </w:pPr>
            <w:r>
              <w:rPr>
                <w:rFonts w:cs="Arial"/>
                <w:color w:val="747474" w:themeColor="background2" w:themeShade="80"/>
              </w:rPr>
              <w:t>1.6</w:t>
            </w:r>
          </w:p>
        </w:tc>
        <w:tc>
          <w:tcPr>
            <w:tcW w:w="2126" w:type="dxa"/>
          </w:tcPr>
          <w:p w14:paraId="4018A820" w14:textId="77777777" w:rsidR="00E954D9" w:rsidRDefault="00D97AF7" w:rsidP="00E954D9">
            <w:pPr>
              <w:pStyle w:val="Subjectcolumntext"/>
              <w:cnfStyle w:val="000000000000" w:firstRow="0" w:lastRow="0" w:firstColumn="0" w:lastColumn="0" w:oddVBand="0" w:evenVBand="0" w:oddHBand="0" w:evenHBand="0" w:firstRowFirstColumn="0" w:firstRowLastColumn="0" w:lastRowFirstColumn="0" w:lastRowLastColumn="0"/>
            </w:pPr>
            <w:r>
              <w:t>Government type</w:t>
            </w:r>
          </w:p>
        </w:tc>
        <w:tc>
          <w:tcPr>
            <w:tcW w:w="2127" w:type="dxa"/>
          </w:tcPr>
          <w:p w14:paraId="0CF697BD" w14:textId="77777777" w:rsidR="00E954D9" w:rsidRDefault="00E954D9" w:rsidP="00E954D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27E568" w14:textId="77777777" w:rsidR="00E954D9" w:rsidRPr="0016559B" w:rsidRDefault="00D97AF7" w:rsidP="00E954D9">
            <w:pPr>
              <w:spacing w:line="276" w:lineRule="auto"/>
              <w:cnfStyle w:val="000000000000" w:firstRow="0" w:lastRow="0" w:firstColumn="0" w:lastColumn="0" w:oddVBand="0" w:evenVBand="0" w:oddHBand="0" w:evenHBand="0" w:firstRowFirstColumn="0" w:firstRowLastColumn="0" w:lastRowFirstColumn="0" w:lastRowLastColumn="0"/>
              <w:rPr>
                <w:rFonts w:cs="Arial"/>
              </w:rPr>
            </w:pPr>
            <w:r>
              <w:t>Parliamentary constitutional monarchy (</w:t>
            </w:r>
            <w:hyperlink r:id="rId15" w:history="1">
              <w:r>
                <w:rPr>
                  <w:color w:val="0563C1"/>
                  <w:u w:val="single"/>
                </w:rPr>
                <w:t>CIA 2023</w:t>
              </w:r>
            </w:hyperlink>
            <w:r>
              <w:t>)</w:t>
            </w:r>
          </w:p>
        </w:tc>
      </w:tr>
      <w:tr w:rsidR="000F492D" w14:paraId="2A6A10FA"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25BC33" w14:textId="77777777" w:rsidR="002A481D" w:rsidRPr="00203503" w:rsidRDefault="00D97AF7" w:rsidP="002A481D">
            <w:pPr>
              <w:spacing w:line="276" w:lineRule="auto"/>
              <w:rPr>
                <w:rFonts w:cs="Arial"/>
                <w:color w:val="747474" w:themeColor="background2" w:themeShade="80"/>
              </w:rPr>
            </w:pPr>
            <w:r>
              <w:rPr>
                <w:rFonts w:cs="Arial"/>
                <w:color w:val="747474" w:themeColor="background2" w:themeShade="80"/>
              </w:rPr>
              <w:t>1.7</w:t>
            </w:r>
          </w:p>
        </w:tc>
        <w:tc>
          <w:tcPr>
            <w:tcW w:w="2126" w:type="dxa"/>
            <w:tcBorders>
              <w:top w:val="none" w:sz="0" w:space="0" w:color="auto"/>
              <w:bottom w:val="none" w:sz="0" w:space="0" w:color="auto"/>
            </w:tcBorders>
          </w:tcPr>
          <w:p w14:paraId="05B1B4CA" w14:textId="77777777" w:rsidR="002A481D" w:rsidRDefault="00D97AF7" w:rsidP="002A481D">
            <w:pPr>
              <w:pStyle w:val="Subjectcolumntext"/>
              <w:cnfStyle w:val="000000100000" w:firstRow="0" w:lastRow="0" w:firstColumn="0" w:lastColumn="0" w:oddVBand="0" w:evenVBand="0" w:oddHBand="1" w:evenHBand="0" w:firstRowFirstColumn="0" w:firstRowLastColumn="0" w:lastRowFirstColumn="0" w:lastRowLastColumn="0"/>
            </w:pPr>
            <w:r>
              <w:t>Legal system</w:t>
            </w:r>
          </w:p>
        </w:tc>
        <w:tc>
          <w:tcPr>
            <w:tcW w:w="2127" w:type="dxa"/>
            <w:tcBorders>
              <w:top w:val="none" w:sz="0" w:space="0" w:color="auto"/>
              <w:bottom w:val="none" w:sz="0" w:space="0" w:color="auto"/>
            </w:tcBorders>
          </w:tcPr>
          <w:p w14:paraId="0D716F12" w14:textId="77777777" w:rsidR="002A481D" w:rsidRDefault="002A481D" w:rsidP="002A481D">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3BEB62B" w14:textId="77777777" w:rsidR="002A481D" w:rsidRDefault="00D97AF7" w:rsidP="00FC3565">
            <w:pPr>
              <w:cnfStyle w:val="000000100000" w:firstRow="0" w:lastRow="0" w:firstColumn="0" w:lastColumn="0" w:oddVBand="0" w:evenVBand="0" w:oddHBand="1" w:evenHBand="0" w:firstRowFirstColumn="0" w:firstRowLastColumn="0" w:lastRowFirstColumn="0" w:lastRowLastColumn="0"/>
            </w:pPr>
            <w:r>
              <w:t>Civil law system with regional variations (</w:t>
            </w:r>
            <w:hyperlink r:id="rId16" w:history="1">
              <w:r>
                <w:rPr>
                  <w:color w:val="0563C1"/>
                  <w:u w:val="single"/>
                </w:rPr>
                <w:t>CIA 2023</w:t>
              </w:r>
            </w:hyperlink>
            <w:r>
              <w:t>)</w:t>
            </w:r>
            <w:r w:rsidR="00944CA6">
              <w:t>.</w:t>
            </w:r>
          </w:p>
          <w:p w14:paraId="565F650A" w14:textId="77777777" w:rsidR="00944CA6" w:rsidRDefault="00944CA6" w:rsidP="00FC3565">
            <w:pPr>
              <w:cnfStyle w:val="000000100000" w:firstRow="0" w:lastRow="0" w:firstColumn="0" w:lastColumn="0" w:oddVBand="0" w:evenVBand="0" w:oddHBand="1" w:evenHBand="0" w:firstRowFirstColumn="0" w:firstRowLastColumn="0" w:lastRowFirstColumn="0" w:lastRowLastColumn="0"/>
              <w:rPr>
                <w:rFonts w:cs="Arial"/>
              </w:rPr>
            </w:pPr>
          </w:p>
          <w:p w14:paraId="24B40D2C" w14:textId="77777777" w:rsidR="00944CA6" w:rsidRPr="0016559B" w:rsidRDefault="00D97AF7" w:rsidP="00FC3565">
            <w:pPr>
              <w:cnfStyle w:val="000000100000" w:firstRow="0" w:lastRow="0" w:firstColumn="0" w:lastColumn="0" w:oddVBand="0" w:evenVBand="0" w:oddHBand="1" w:evenHBand="0" w:firstRowFirstColumn="0" w:firstRowLastColumn="0" w:lastRowFirstColumn="0" w:lastRowLastColumn="0"/>
              <w:rPr>
                <w:rFonts w:cs="Arial"/>
              </w:rPr>
            </w:pPr>
            <w:r w:rsidRPr="00B41200">
              <w:rPr>
                <w:rFonts w:cs="Arial"/>
              </w:rPr>
              <w:t>According to the Spanish Constitution, Spain is a social and democratic State governed by the rule of law, which upholds freedom, justice, equality, and political pluralism as the highest values of its legal system (</w:t>
            </w:r>
            <w:hyperlink r:id="rId17" w:history="1">
              <w:r w:rsidRPr="00B41200">
                <w:rPr>
                  <w:rStyle w:val="Hyperlink"/>
                  <w:rFonts w:cs="Arial"/>
                </w:rPr>
                <w:t>BOE, 1978</w:t>
              </w:r>
            </w:hyperlink>
            <w:r w:rsidRPr="006846E4">
              <w:rPr>
                <w:rFonts w:asciiTheme="minorHAnsi" w:hAnsiTheme="minorHAnsi" w:cstheme="minorHAnsi"/>
              </w:rPr>
              <w:t>)</w:t>
            </w:r>
          </w:p>
        </w:tc>
      </w:tr>
      <w:tr w:rsidR="000F492D" w14:paraId="35B5437E"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219FEF1" w14:textId="77777777" w:rsidR="00944CA6" w:rsidRPr="00203503" w:rsidRDefault="00D97AF7" w:rsidP="00944CA6">
            <w:pPr>
              <w:spacing w:line="276" w:lineRule="auto"/>
              <w:rPr>
                <w:rFonts w:cs="Arial"/>
                <w:color w:val="747474" w:themeColor="background2" w:themeShade="80"/>
              </w:rPr>
            </w:pPr>
            <w:r>
              <w:rPr>
                <w:rFonts w:cs="Arial"/>
                <w:color w:val="747474" w:themeColor="background2" w:themeShade="80"/>
              </w:rPr>
              <w:t>1.8</w:t>
            </w:r>
          </w:p>
        </w:tc>
        <w:tc>
          <w:tcPr>
            <w:tcW w:w="2126" w:type="dxa"/>
          </w:tcPr>
          <w:p w14:paraId="7A563F43" w14:textId="77777777" w:rsidR="00944CA6" w:rsidRPr="00494170" w:rsidRDefault="00D97AF7" w:rsidP="00944CA6">
            <w:pPr>
              <w:pStyle w:val="Subjectcolumntext"/>
              <w:cnfStyle w:val="000000000000" w:firstRow="0" w:lastRow="0" w:firstColumn="0" w:lastColumn="0" w:oddVBand="0" w:evenVBand="0" w:oddHBand="0" w:evenHBand="0" w:firstRowFirstColumn="0" w:firstRowLastColumn="0" w:lastRowFirstColumn="0" w:lastRowLastColumn="0"/>
              <w:rPr>
                <w:b w:val="0"/>
                <w:bCs w:val="0"/>
              </w:rPr>
            </w:pPr>
            <w:r>
              <w:t>Internet users</w:t>
            </w:r>
            <w:r>
              <w:br/>
            </w:r>
            <w:r w:rsidRPr="00310047">
              <w:rPr>
                <w:b w:val="0"/>
                <w:bCs w:val="0"/>
              </w:rPr>
              <w:t>(% of pop)</w:t>
            </w:r>
          </w:p>
        </w:tc>
        <w:tc>
          <w:tcPr>
            <w:tcW w:w="2127" w:type="dxa"/>
          </w:tcPr>
          <w:p w14:paraId="59C5D3C4" w14:textId="77777777" w:rsidR="00944CA6" w:rsidRDefault="00D97AF7" w:rsidP="00944CA6">
            <w:pPr>
              <w:pStyle w:val="Classificationcolumntext"/>
              <w:cnfStyle w:val="000000000000" w:firstRow="0" w:lastRow="0" w:firstColumn="0" w:lastColumn="0" w:oddVBand="0" w:evenVBand="0" w:oddHBand="0" w:evenHBand="0" w:firstRowFirstColumn="0" w:firstRowLastColumn="0" w:lastRowFirstColumn="0" w:lastRowLastColumn="0"/>
            </w:pPr>
            <w:r w:rsidRPr="00B41200">
              <w:rPr>
                <w:rFonts w:asciiTheme="minorHAnsi" w:hAnsiTheme="minorHAnsi" w:cstheme="minorHAnsi"/>
                <w:color w:val="000000" w:themeColor="text1"/>
              </w:rPr>
              <w:t xml:space="preserve">94.5% </w:t>
            </w:r>
            <w:hyperlink r:id="rId18" w:history="1">
              <w:r w:rsidRPr="00ED0B33">
                <w:rPr>
                  <w:rStyle w:val="Hyperlink"/>
                  <w:rFonts w:asciiTheme="minorHAnsi" w:eastAsiaTheme="majorEastAsia" w:hAnsiTheme="minorHAnsi" w:cstheme="minorHAnsi"/>
                </w:rPr>
                <w:t>(INE, 2023b</w:t>
              </w:r>
            </w:hyperlink>
            <w:r w:rsidRPr="00485778">
              <w:rPr>
                <w:rFonts w:asciiTheme="minorHAnsi" w:hAnsiTheme="minorHAnsi" w:cstheme="minorHAnsi"/>
              </w:rPr>
              <w:t>)</w:t>
            </w:r>
          </w:p>
        </w:tc>
        <w:tc>
          <w:tcPr>
            <w:tcW w:w="5670" w:type="dxa"/>
          </w:tcPr>
          <w:p w14:paraId="1559EBBC" w14:textId="77777777" w:rsidR="00944CA6" w:rsidRPr="0016559B" w:rsidRDefault="00D97AF7" w:rsidP="00FC3565">
            <w:pPr>
              <w:cnfStyle w:val="000000000000" w:firstRow="0" w:lastRow="0" w:firstColumn="0" w:lastColumn="0" w:oddVBand="0" w:evenVBand="0" w:oddHBand="0" w:evenHBand="0" w:firstRowFirstColumn="0" w:firstRowLastColumn="0" w:lastRowFirstColumn="0" w:lastRowLastColumn="0"/>
              <w:rPr>
                <w:rFonts w:cs="Arial"/>
              </w:rPr>
            </w:pPr>
            <w:r w:rsidRPr="00B41200">
              <w:rPr>
                <w:rFonts w:cs="Arial"/>
              </w:rPr>
              <w:t>According to official data (</w:t>
            </w:r>
            <w:hyperlink r:id="rId19" w:history="1">
              <w:r w:rsidRPr="00B41200">
                <w:rPr>
                  <w:rStyle w:val="Hyperlink"/>
                  <w:rFonts w:cs="Arial"/>
                </w:rPr>
                <w:t>INE, 2023b</w:t>
              </w:r>
            </w:hyperlink>
            <w:r w:rsidRPr="00B41200">
              <w:rPr>
                <w:rFonts w:cs="Arial"/>
              </w:rPr>
              <w:t xml:space="preserve">), 94.5% of the Spanish population aged 16 to 74 years old used the Internet frequently in 2023 (at least once a week in the last three months), with slightly higher use by women (94.6%) than by men (94.3%). </w:t>
            </w:r>
            <w:r>
              <w:rPr>
                <w:rFonts w:cs="Arial"/>
              </w:rPr>
              <w:t xml:space="preserve">Internet usage is highest among </w:t>
            </w:r>
            <w:r w:rsidRPr="00B41200">
              <w:rPr>
                <w:rFonts w:cs="Arial"/>
              </w:rPr>
              <w:t>young people</w:t>
            </w:r>
            <w:r>
              <w:rPr>
                <w:rFonts w:cs="Arial"/>
              </w:rPr>
              <w:t xml:space="preserve"> aged 16-24 (</w:t>
            </w:r>
            <w:r w:rsidRPr="00B41200">
              <w:rPr>
                <w:rFonts w:cs="Arial"/>
              </w:rPr>
              <w:t>99.9% of men and 99.7% of women</w:t>
            </w:r>
            <w:r>
              <w:rPr>
                <w:rFonts w:cs="Arial"/>
              </w:rPr>
              <w:t>)</w:t>
            </w:r>
            <w:r w:rsidRPr="00B41200">
              <w:rPr>
                <w:rFonts w:cs="Arial"/>
              </w:rPr>
              <w:t xml:space="preserve"> </w:t>
            </w:r>
            <w:r>
              <w:rPr>
                <w:rFonts w:cs="Arial"/>
              </w:rPr>
              <w:t xml:space="preserve">and lowest in the </w:t>
            </w:r>
            <w:r w:rsidRPr="00B41200">
              <w:rPr>
                <w:rFonts w:cs="Arial"/>
              </w:rPr>
              <w:t xml:space="preserve">65-74 age group </w:t>
            </w:r>
            <w:r w:rsidRPr="00B41200">
              <w:rPr>
                <w:rFonts w:cs="Arial"/>
              </w:rPr>
              <w:lastRenderedPageBreak/>
              <w:t xml:space="preserve">(77.4% of men and 78.2% of women). </w:t>
            </w:r>
            <w:r>
              <w:rPr>
                <w:rFonts w:cs="Arial"/>
              </w:rPr>
              <w:t>T</w:t>
            </w:r>
            <w:r w:rsidRPr="00B41200">
              <w:rPr>
                <w:rFonts w:cs="Arial"/>
              </w:rPr>
              <w:t>he higher the level of education, the higher the percentage of frequent Internet users among both men and women</w:t>
            </w:r>
            <w:r>
              <w:rPr>
                <w:rFonts w:cs="Arial"/>
              </w:rPr>
              <w:t xml:space="preserve">, according to </w:t>
            </w:r>
            <w:r w:rsidRPr="00B41200">
              <w:rPr>
                <w:rFonts w:cs="Arial"/>
              </w:rPr>
              <w:t>INE</w:t>
            </w:r>
            <w:r>
              <w:rPr>
                <w:rFonts w:cs="Arial"/>
              </w:rPr>
              <w:t xml:space="preserve"> (</w:t>
            </w:r>
            <w:r w:rsidRPr="00B41200">
              <w:rPr>
                <w:rFonts w:cs="Arial"/>
              </w:rPr>
              <w:t>2023b</w:t>
            </w:r>
            <w:r>
              <w:rPr>
                <w:rFonts w:cs="Arial"/>
              </w:rPr>
              <w:t>)</w:t>
            </w:r>
            <w:r w:rsidRPr="00B41200">
              <w:rPr>
                <w:rFonts w:cs="Arial"/>
              </w:rPr>
              <w:t>.</w:t>
            </w:r>
          </w:p>
        </w:tc>
      </w:tr>
      <w:tr w:rsidR="000F492D" w14:paraId="71FEF16A"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5EB1B75" w14:textId="77777777" w:rsidR="00944CA6" w:rsidRDefault="00D97AF7" w:rsidP="00944CA6">
            <w:pPr>
              <w:spacing w:line="276" w:lineRule="auto"/>
              <w:rPr>
                <w:rFonts w:cs="Arial"/>
                <w:color w:val="747474" w:themeColor="background2" w:themeShade="80"/>
              </w:rPr>
            </w:pPr>
            <w:r>
              <w:rPr>
                <w:rFonts w:cs="Arial"/>
                <w:color w:val="747474" w:themeColor="background2" w:themeShade="80"/>
              </w:rPr>
              <w:lastRenderedPageBreak/>
              <w:t>1.9</w:t>
            </w:r>
          </w:p>
        </w:tc>
        <w:tc>
          <w:tcPr>
            <w:tcW w:w="2126" w:type="dxa"/>
          </w:tcPr>
          <w:p w14:paraId="27891373" w14:textId="77777777" w:rsidR="00944CA6" w:rsidRDefault="00D97AF7" w:rsidP="00944CA6">
            <w:pPr>
              <w:pStyle w:val="Subjectcolumntext"/>
              <w:cnfStyle w:val="000000100000" w:firstRow="0" w:lastRow="0" w:firstColumn="0" w:lastColumn="0" w:oddVBand="0" w:evenVBand="0" w:oddHBand="1" w:evenHBand="0" w:firstRowFirstColumn="0" w:firstRowLastColumn="0" w:lastRowFirstColumn="0" w:lastRowLastColumn="0"/>
            </w:pPr>
            <w:r>
              <w:t>World Press Freedom Ranking</w:t>
            </w:r>
          </w:p>
        </w:tc>
        <w:tc>
          <w:tcPr>
            <w:tcW w:w="2127" w:type="dxa"/>
          </w:tcPr>
          <w:p w14:paraId="50BBE23E" w14:textId="77777777" w:rsidR="00944CA6" w:rsidRDefault="00D97AF7" w:rsidP="00944CA6">
            <w:pPr>
              <w:pStyle w:val="Classificationcolumntext"/>
              <w:cnfStyle w:val="000000100000" w:firstRow="0" w:lastRow="0" w:firstColumn="0" w:lastColumn="0" w:oddVBand="0" w:evenVBand="0" w:oddHBand="1" w:evenHBand="0" w:firstRowFirstColumn="0" w:firstRowLastColumn="0" w:lastRowFirstColumn="0" w:lastRowLastColumn="0"/>
            </w:pPr>
            <w:r w:rsidRPr="008D67E9">
              <w:rPr>
                <w:color w:val="000000" w:themeColor="text1"/>
              </w:rPr>
              <w:t>Satisfactory</w:t>
            </w:r>
          </w:p>
        </w:tc>
        <w:tc>
          <w:tcPr>
            <w:tcW w:w="5670" w:type="dxa"/>
          </w:tcPr>
          <w:p w14:paraId="52E33898" w14:textId="77777777" w:rsidR="00944CA6" w:rsidRPr="000054B9" w:rsidRDefault="00D97AF7" w:rsidP="00944CA6">
            <w:pPr>
              <w:spacing w:line="276" w:lineRule="auto"/>
              <w:cnfStyle w:val="000000100000" w:firstRow="0" w:lastRow="0" w:firstColumn="0" w:lastColumn="0" w:oddVBand="0" w:evenVBand="0" w:oddHBand="1" w:evenHBand="0" w:firstRowFirstColumn="0" w:firstRowLastColumn="0" w:lastRowFirstColumn="0" w:lastRowLastColumn="0"/>
            </w:pPr>
            <w:r>
              <w:rPr>
                <w:rFonts w:cs="Arial"/>
              </w:rPr>
              <w:t>Reporters without Borders (</w:t>
            </w:r>
            <w:r>
              <w:t>RSF 2023: 36)</w:t>
            </w:r>
          </w:p>
        </w:tc>
      </w:tr>
    </w:tbl>
    <w:p w14:paraId="5C805350" w14:textId="77777777" w:rsidR="00D25F75" w:rsidRPr="0021658A" w:rsidRDefault="00D97AF7" w:rsidP="00832DB0">
      <w:pPr>
        <w:pStyle w:val="SectionHead"/>
      </w:pPr>
      <w:bookmarkStart w:id="6" w:name="_Toc170136342"/>
      <w:r w:rsidRPr="00AE3D31">
        <w:t>Media System; Media and Advertising Markets</w:t>
      </w:r>
      <w:bookmarkEnd w:id="6"/>
      <w:r w:rsidRPr="0021658A">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0F492D" w14:paraId="469EDAD4" w14:textId="77777777" w:rsidTr="33F03C23">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208FBCE" w14:textId="77777777" w:rsidR="00C87E37" w:rsidRPr="009764DF" w:rsidRDefault="00D97AF7" w:rsidP="00C87E37">
            <w:pPr>
              <w:spacing w:line="276" w:lineRule="auto"/>
              <w:rPr>
                <w:rFonts w:cs="Arial"/>
                <w:color w:val="747474" w:themeColor="background2" w:themeShade="80"/>
              </w:rPr>
            </w:pPr>
            <w:r w:rsidRPr="009764DF">
              <w:rPr>
                <w:color w:val="747474" w:themeColor="background2" w:themeShade="80"/>
              </w:rPr>
              <w:t>Item</w:t>
            </w:r>
          </w:p>
        </w:tc>
        <w:tc>
          <w:tcPr>
            <w:tcW w:w="2126" w:type="dxa"/>
          </w:tcPr>
          <w:p w14:paraId="6DB0DC35" w14:textId="77777777" w:rsidR="00C87E37" w:rsidRPr="009764DF" w:rsidRDefault="00D97AF7" w:rsidP="00C87E37">
            <w:pPr>
              <w:pStyle w:val="Subjectcolumntext"/>
              <w:cnfStyle w:val="100000000000" w:firstRow="1" w:lastRow="0" w:firstColumn="0" w:lastColumn="0" w:oddVBand="0" w:evenVBand="0" w:oddHBand="0" w:evenHBand="0" w:firstRowFirstColumn="0" w:firstRowLastColumn="0" w:lastRowFirstColumn="0" w:lastRowLastColumn="0"/>
              <w:rPr>
                <w:color w:val="747474" w:themeColor="background2" w:themeShade="80"/>
              </w:rPr>
            </w:pPr>
            <w:r w:rsidRPr="009764DF">
              <w:rPr>
                <w:b/>
                <w:bCs/>
                <w:color w:val="747474" w:themeColor="background2" w:themeShade="80"/>
              </w:rPr>
              <w:t>Subject</w:t>
            </w:r>
          </w:p>
        </w:tc>
        <w:tc>
          <w:tcPr>
            <w:tcW w:w="2127" w:type="dxa"/>
          </w:tcPr>
          <w:p w14:paraId="34FCDD4F" w14:textId="77777777" w:rsidR="00C87E37" w:rsidRPr="009764DF" w:rsidRDefault="00D97AF7" w:rsidP="00C87E37">
            <w:pPr>
              <w:pStyle w:val="Classificationcolumntext"/>
              <w:cnfStyle w:val="100000000000" w:firstRow="1" w:lastRow="0" w:firstColumn="0" w:lastColumn="0" w:oddVBand="0" w:evenVBand="0" w:oddHBand="0" w:evenHBand="0" w:firstRowFirstColumn="0" w:firstRowLastColumn="0" w:lastRowFirstColumn="0" w:lastRowLastColumn="0"/>
              <w:rPr>
                <w:color w:val="747474" w:themeColor="background2" w:themeShade="80"/>
              </w:rPr>
            </w:pPr>
            <w:r w:rsidRPr="009764DF">
              <w:rPr>
                <w:color w:val="747474" w:themeColor="background2" w:themeShade="80"/>
              </w:rPr>
              <w:t xml:space="preserve">Classification </w:t>
            </w:r>
          </w:p>
        </w:tc>
        <w:tc>
          <w:tcPr>
            <w:tcW w:w="5670" w:type="dxa"/>
          </w:tcPr>
          <w:p w14:paraId="63C2E382" w14:textId="77777777" w:rsidR="00C87E37" w:rsidRPr="009764DF" w:rsidRDefault="00D97AF7" w:rsidP="00C87E37">
            <w:pPr>
              <w:spacing w:line="276" w:lineRule="auto"/>
              <w:cnfStyle w:val="100000000000" w:firstRow="1" w:lastRow="0" w:firstColumn="0" w:lastColumn="0" w:oddVBand="0" w:evenVBand="0" w:oddHBand="0" w:evenHBand="0" w:firstRowFirstColumn="0" w:firstRowLastColumn="0" w:lastRowFirstColumn="0" w:lastRowLastColumn="0"/>
              <w:rPr>
                <w:rFonts w:cs="Arial"/>
                <w:color w:val="747474" w:themeColor="background2" w:themeShade="80"/>
              </w:rPr>
            </w:pPr>
            <w:r w:rsidRPr="009764DF">
              <w:rPr>
                <w:color w:val="747474" w:themeColor="background2" w:themeShade="80"/>
              </w:rPr>
              <w:t>Description</w:t>
            </w:r>
          </w:p>
        </w:tc>
      </w:tr>
      <w:tr w:rsidR="000F492D" w14:paraId="177DB92F" w14:textId="77777777" w:rsidTr="33F03C2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73DC05F"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t>2.1</w:t>
            </w:r>
          </w:p>
        </w:tc>
        <w:tc>
          <w:tcPr>
            <w:tcW w:w="2126" w:type="dxa"/>
            <w:tcBorders>
              <w:bottom w:val="none" w:sz="0" w:space="0" w:color="auto"/>
            </w:tcBorders>
          </w:tcPr>
          <w:p w14:paraId="7709CFAE" w14:textId="77777777" w:rsidR="00786213" w:rsidRPr="00310047" w:rsidRDefault="00D97AF7" w:rsidP="00F92CC7">
            <w:pPr>
              <w:pStyle w:val="Subjectcolumntext"/>
              <w:cnfStyle w:val="000000100000" w:firstRow="0" w:lastRow="0" w:firstColumn="0" w:lastColumn="0" w:oddVBand="0" w:evenVBand="0" w:oddHBand="1" w:evenHBand="0" w:firstRowFirstColumn="0" w:firstRowLastColumn="0" w:lastRowFirstColumn="0" w:lastRowLastColumn="0"/>
              <w:rPr>
                <w:b w:val="0"/>
                <w:bCs w:val="0"/>
              </w:rPr>
            </w:pPr>
            <w:r w:rsidRPr="00310047">
              <w:t>Media system classification</w:t>
            </w:r>
          </w:p>
        </w:tc>
        <w:tc>
          <w:tcPr>
            <w:tcW w:w="2127" w:type="dxa"/>
            <w:tcBorders>
              <w:bottom w:val="none" w:sz="0" w:space="0" w:color="auto"/>
            </w:tcBorders>
          </w:tcPr>
          <w:p w14:paraId="4E7137E0" w14:textId="77777777" w:rsidR="00786213" w:rsidRPr="00745C48" w:rsidRDefault="00786213"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bottom w:val="none" w:sz="0" w:space="0" w:color="auto"/>
            </w:tcBorders>
          </w:tcPr>
          <w:p w14:paraId="68797B57" w14:textId="77777777" w:rsidR="00786213" w:rsidRPr="0016559B" w:rsidRDefault="00D97AF7" w:rsidP="00FC3565">
            <w:pPr>
              <w:cnfStyle w:val="000000100000" w:firstRow="0" w:lastRow="0" w:firstColumn="0" w:lastColumn="0" w:oddVBand="0" w:evenVBand="0" w:oddHBand="1" w:evenHBand="0" w:firstRowFirstColumn="0" w:firstRowLastColumn="0" w:lastRowFirstColumn="0" w:lastRowLastColumn="0"/>
              <w:rPr>
                <w:rFonts w:cs="Arial"/>
              </w:rPr>
            </w:pPr>
            <w:r>
              <w:t xml:space="preserve">Mediterranean or Polarized Pluralist Model (Hallin and Mancini 2004).  </w:t>
            </w:r>
          </w:p>
        </w:tc>
      </w:tr>
      <w:tr w:rsidR="000F492D" w14:paraId="06295F2D" w14:textId="77777777" w:rsidTr="33F03C2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360E39" w14:textId="77777777" w:rsidR="00786213" w:rsidRPr="00203503" w:rsidRDefault="00D97AF7" w:rsidP="00F92CC7">
            <w:pPr>
              <w:spacing w:line="276" w:lineRule="auto"/>
              <w:rPr>
                <w:rFonts w:cs="Arial"/>
                <w:color w:val="3A3A3A" w:themeColor="background2" w:themeShade="40"/>
              </w:rPr>
            </w:pPr>
            <w:r>
              <w:rPr>
                <w:rFonts w:cs="Arial"/>
                <w:color w:val="747474" w:themeColor="background2" w:themeShade="80"/>
              </w:rPr>
              <w:t>2.2</w:t>
            </w:r>
          </w:p>
        </w:tc>
        <w:tc>
          <w:tcPr>
            <w:tcW w:w="2126" w:type="dxa"/>
          </w:tcPr>
          <w:p w14:paraId="2DCC8BDB" w14:textId="77777777" w:rsidR="00786213"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102F13">
              <w:t>Role of State</w:t>
            </w:r>
            <w:r>
              <w:t xml:space="preserve"> </w:t>
            </w:r>
            <w:r w:rsidRPr="00310047">
              <w:rPr>
                <w:b w:val="0"/>
                <w:bCs w:val="0"/>
              </w:rPr>
              <w:t>(type)</w:t>
            </w:r>
          </w:p>
        </w:tc>
        <w:tc>
          <w:tcPr>
            <w:tcW w:w="2127" w:type="dxa"/>
          </w:tcPr>
          <w:p w14:paraId="1B1E20A9" w14:textId="77777777" w:rsidR="00786213" w:rsidRDefault="00786213"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DD7AD89" w14:textId="77777777" w:rsidR="00786213" w:rsidRDefault="00D97AF7" w:rsidP="00FC3565">
            <w:pPr>
              <w:cnfStyle w:val="000000000000" w:firstRow="0" w:lastRow="0" w:firstColumn="0" w:lastColumn="0" w:oddVBand="0" w:evenVBand="0" w:oddHBand="0" w:evenHBand="0" w:firstRowFirstColumn="0" w:firstRowLastColumn="0" w:lastRowFirstColumn="0" w:lastRowLastColumn="0"/>
              <w:rPr>
                <w:rFonts w:cs="Arial"/>
              </w:rPr>
            </w:pPr>
            <w:r>
              <w:rPr>
                <w:rFonts w:eastAsia="Calibri"/>
                <w:color w:val="000000"/>
              </w:rPr>
              <w:t xml:space="preserve">The Mediterranean or Polarized Pluralist Model is characterised by a strong state control (of both economic and social matters), and high press subsidies (Hallin and Mancini 2004, 2019).  </w:t>
            </w:r>
          </w:p>
        </w:tc>
      </w:tr>
      <w:tr w:rsidR="000F492D" w14:paraId="01640624" w14:textId="77777777" w:rsidTr="33F03C2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C35054E"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t>2.3</w:t>
            </w:r>
          </w:p>
        </w:tc>
        <w:tc>
          <w:tcPr>
            <w:tcW w:w="2126" w:type="dxa"/>
          </w:tcPr>
          <w:p w14:paraId="191977E0" w14:textId="77777777" w:rsidR="00786213"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102F13">
              <w:t>Media Plurality indicators</w:t>
            </w:r>
          </w:p>
        </w:tc>
        <w:tc>
          <w:tcPr>
            <w:tcW w:w="2127" w:type="dxa"/>
          </w:tcPr>
          <w:p w14:paraId="01188DA4" w14:textId="77777777" w:rsidR="00E36B90" w:rsidRDefault="00D97AF7" w:rsidP="00FC3565">
            <w:pPr>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 xml:space="preserve">Fundamental Protection: </w:t>
            </w:r>
            <w:r w:rsidR="00064576">
              <w:rPr>
                <w:rFonts w:eastAsia="Calibri"/>
              </w:rPr>
              <w:br/>
            </w:r>
            <w:r>
              <w:rPr>
                <w:rFonts w:eastAsia="Calibri"/>
              </w:rPr>
              <w:t>42% - medium risk</w:t>
            </w:r>
          </w:p>
          <w:p w14:paraId="25FE8813" w14:textId="77777777" w:rsidR="00D655F5" w:rsidRDefault="00D655F5" w:rsidP="00FC3565">
            <w:pPr>
              <w:cnfStyle w:val="000000100000" w:firstRow="0" w:lastRow="0" w:firstColumn="0" w:lastColumn="0" w:oddVBand="0" w:evenVBand="0" w:oddHBand="1" w:evenHBand="0" w:firstRowFirstColumn="0" w:firstRowLastColumn="0" w:lastRowFirstColumn="0" w:lastRowLastColumn="0"/>
              <w:rPr>
                <w:rFonts w:eastAsia="Calibri"/>
              </w:rPr>
            </w:pPr>
          </w:p>
          <w:p w14:paraId="30B6FCEC" w14:textId="77777777" w:rsidR="00E36B90" w:rsidRDefault="00D97AF7" w:rsidP="00FC3565">
            <w:pPr>
              <w:cnfStyle w:val="000000100000" w:firstRow="0" w:lastRow="0" w:firstColumn="0" w:lastColumn="0" w:oddVBand="0" w:evenVBand="0" w:oddHBand="1" w:evenHBand="0" w:firstRowFirstColumn="0" w:firstRowLastColumn="0" w:lastRowFirstColumn="0" w:lastRowLastColumn="0"/>
              <w:rPr>
                <w:rFonts w:eastAsia="Calibri"/>
              </w:rPr>
            </w:pPr>
            <w:r>
              <w:rPr>
                <w:rFonts w:eastAsia="Calibri"/>
              </w:rPr>
              <w:t>Market Plurality</w:t>
            </w:r>
            <w:r w:rsidR="00D655F5">
              <w:rPr>
                <w:rFonts w:eastAsia="Calibri"/>
              </w:rPr>
              <w:t>:</w:t>
            </w:r>
            <w:r>
              <w:rPr>
                <w:rFonts w:eastAsia="Calibri"/>
              </w:rPr>
              <w:t xml:space="preserve"> </w:t>
            </w:r>
            <w:r w:rsidR="00064576">
              <w:rPr>
                <w:rFonts w:eastAsia="Calibri"/>
              </w:rPr>
              <w:br/>
            </w:r>
            <w:r>
              <w:rPr>
                <w:rFonts w:eastAsia="Calibri"/>
              </w:rPr>
              <w:t>69% - high risk</w:t>
            </w:r>
          </w:p>
          <w:p w14:paraId="7711BBAA" w14:textId="77777777" w:rsidR="00D655F5" w:rsidRDefault="00D655F5" w:rsidP="00FC3565">
            <w:pPr>
              <w:cnfStyle w:val="000000100000" w:firstRow="0" w:lastRow="0" w:firstColumn="0" w:lastColumn="0" w:oddVBand="0" w:evenVBand="0" w:oddHBand="1" w:evenHBand="0" w:firstRowFirstColumn="0" w:firstRowLastColumn="0" w:lastRowFirstColumn="0" w:lastRowLastColumn="0"/>
            </w:pPr>
          </w:p>
          <w:p w14:paraId="7E596DB7" w14:textId="77777777" w:rsidR="00E36B90" w:rsidRDefault="00D97AF7" w:rsidP="00FC3565">
            <w:pPr>
              <w:cnfStyle w:val="000000100000" w:firstRow="0" w:lastRow="0" w:firstColumn="0" w:lastColumn="0" w:oddVBand="0" w:evenVBand="0" w:oddHBand="1" w:evenHBand="0" w:firstRowFirstColumn="0" w:firstRowLastColumn="0" w:lastRowFirstColumn="0" w:lastRowLastColumn="0"/>
              <w:rPr>
                <w:rFonts w:eastAsia="Calibri"/>
              </w:rPr>
            </w:pPr>
            <w:r>
              <w:t xml:space="preserve">Political Independence: </w:t>
            </w:r>
            <w:r w:rsidR="00064576">
              <w:br/>
            </w:r>
            <w:r>
              <w:t>50% - medium risk</w:t>
            </w:r>
          </w:p>
          <w:p w14:paraId="47D2FEF0" w14:textId="77777777" w:rsidR="00D655F5" w:rsidRDefault="00D655F5" w:rsidP="00FC3565">
            <w:pPr>
              <w:pStyle w:val="Classificationcolumntext"/>
              <w:cnfStyle w:val="000000100000" w:firstRow="0" w:lastRow="0" w:firstColumn="0" w:lastColumn="0" w:oddVBand="0" w:evenVBand="0" w:oddHBand="1" w:evenHBand="0" w:firstRowFirstColumn="0" w:firstRowLastColumn="0" w:lastRowFirstColumn="0" w:lastRowLastColumn="0"/>
              <w:rPr>
                <w:rFonts w:eastAsia="Calibri"/>
                <w:color w:val="000000" w:themeColor="text1"/>
              </w:rPr>
            </w:pPr>
          </w:p>
          <w:p w14:paraId="048B27F7" w14:textId="77777777" w:rsidR="00786213" w:rsidRDefault="00D97AF7" w:rsidP="00FC3565">
            <w:pPr>
              <w:pStyle w:val="Classificationcolumntext"/>
              <w:cnfStyle w:val="000000100000" w:firstRow="0" w:lastRow="0" w:firstColumn="0" w:lastColumn="0" w:oddVBand="0" w:evenVBand="0" w:oddHBand="1" w:evenHBand="0" w:firstRowFirstColumn="0" w:firstRowLastColumn="0" w:lastRowFirstColumn="0" w:lastRowLastColumn="0"/>
            </w:pPr>
            <w:r w:rsidRPr="00E36B90">
              <w:rPr>
                <w:rFonts w:eastAsia="Calibri"/>
                <w:color w:val="000000" w:themeColor="text1"/>
              </w:rPr>
              <w:t>Social</w:t>
            </w:r>
            <w:r w:rsidR="00D655F5">
              <w:rPr>
                <w:rFonts w:eastAsia="Calibri"/>
                <w:color w:val="000000" w:themeColor="text1"/>
              </w:rPr>
              <w:t xml:space="preserve"> </w:t>
            </w:r>
            <w:r w:rsidRPr="00E36B90">
              <w:rPr>
                <w:rFonts w:eastAsia="Calibri"/>
                <w:color w:val="000000" w:themeColor="text1"/>
              </w:rPr>
              <w:t>Inclusiveness:</w:t>
            </w:r>
            <w:r w:rsidR="00D655F5">
              <w:rPr>
                <w:rFonts w:eastAsia="Calibri"/>
                <w:color w:val="000000" w:themeColor="text1"/>
              </w:rPr>
              <w:t xml:space="preserve"> </w:t>
            </w:r>
            <w:r w:rsidRPr="00E36B90">
              <w:rPr>
                <w:rFonts w:eastAsia="Calibri"/>
                <w:color w:val="000000" w:themeColor="text1"/>
              </w:rPr>
              <w:t>54% - medium risk</w:t>
            </w:r>
            <w:r w:rsidR="00064576">
              <w:rPr>
                <w:rFonts w:eastAsia="Calibri"/>
                <w:color w:val="000000" w:themeColor="text1"/>
              </w:rPr>
              <w:br/>
            </w:r>
            <w:hyperlink r:id="rId20" w:history="1">
              <w:r>
                <w:rPr>
                  <w:rFonts w:eastAsia="Calibri"/>
                  <w:color w:val="1155CC"/>
                  <w:u w:val="single"/>
                </w:rPr>
                <w:t>(Suau et al. 2023)</w:t>
              </w:r>
            </w:hyperlink>
          </w:p>
        </w:tc>
        <w:tc>
          <w:tcPr>
            <w:tcW w:w="5670" w:type="dxa"/>
          </w:tcPr>
          <w:p w14:paraId="6988DBFC" w14:textId="56F2E980" w:rsidR="003730A9" w:rsidRDefault="00D97AF7" w:rsidP="00FC3565">
            <w:pPr>
              <w:cnfStyle w:val="000000100000" w:firstRow="0" w:lastRow="0" w:firstColumn="0" w:lastColumn="0" w:oddVBand="0" w:evenVBand="0" w:oddHBand="1" w:evenHBand="0" w:firstRowFirstColumn="0" w:firstRowLastColumn="0" w:lastRowFirstColumn="0" w:lastRowLastColumn="0"/>
              <w:rPr>
                <w:rFonts w:eastAsia="Calibri"/>
                <w:color w:val="1155CC"/>
                <w:u w:val="single"/>
              </w:rPr>
            </w:pPr>
            <w:r w:rsidRPr="33F03C23">
              <w:rPr>
                <w:rFonts w:cs="Arial"/>
              </w:rPr>
              <w:t xml:space="preserve">Fundamental protection: </w:t>
            </w:r>
            <w:r w:rsidR="005F0938" w:rsidRPr="33F03C23">
              <w:rPr>
                <w:rFonts w:cs="Arial"/>
              </w:rPr>
              <w:t xml:space="preserve">The Media Plurality </w:t>
            </w:r>
            <w:r w:rsidR="00F01887" w:rsidRPr="33F03C23">
              <w:rPr>
                <w:rFonts w:cs="Arial"/>
              </w:rPr>
              <w:t xml:space="preserve">Monitor </w:t>
            </w:r>
            <w:r w:rsidR="00983694" w:rsidRPr="33F03C23">
              <w:rPr>
                <w:rFonts w:cs="Arial"/>
              </w:rPr>
              <w:t>report for 2023</w:t>
            </w:r>
            <w:r w:rsidR="006F0DB2" w:rsidRPr="33F03C23">
              <w:rPr>
                <w:rFonts w:cs="Arial"/>
              </w:rPr>
              <w:t xml:space="preserve"> (Suau et al. 2023)</w:t>
            </w:r>
            <w:r w:rsidR="008B4922" w:rsidRPr="33F03C23">
              <w:rPr>
                <w:rFonts w:cs="Arial"/>
              </w:rPr>
              <w:t xml:space="preserve"> identifies </w:t>
            </w:r>
            <w:r w:rsidR="007E02F3" w:rsidRPr="33F03C23">
              <w:rPr>
                <w:rFonts w:cs="Arial"/>
              </w:rPr>
              <w:t>th</w:t>
            </w:r>
            <w:r w:rsidR="4C5AD45D" w:rsidRPr="33F03C23">
              <w:rPr>
                <w:rFonts w:cs="Arial"/>
              </w:rPr>
              <w:t>at the</w:t>
            </w:r>
            <w:r w:rsidR="007E02F3" w:rsidRPr="33F03C23">
              <w:rPr>
                <w:rFonts w:cs="Arial"/>
              </w:rPr>
              <w:t xml:space="preserve"> problems</w:t>
            </w:r>
            <w:r w:rsidRPr="33F03C23">
              <w:rPr>
                <w:rFonts w:eastAsia="Calibri"/>
              </w:rPr>
              <w:t xml:space="preserve"> noted in the previous edition of the MPM, including restrictions </w:t>
            </w:r>
            <w:r>
              <w:t>to the</w:t>
            </w:r>
            <w:r w:rsidRPr="33F03C23">
              <w:rPr>
                <w:rFonts w:eastAsia="Calibri"/>
              </w:rPr>
              <w:t xml:space="preserve"> right of expression and information, persist, despite the Government’s reassurances and proclaimed abolishment of laws such as</w:t>
            </w:r>
            <w:r w:rsidR="4D1CBE46" w:rsidRPr="33F03C23">
              <w:rPr>
                <w:rFonts w:eastAsia="Calibri"/>
              </w:rPr>
              <w:t>,</w:t>
            </w:r>
            <w:r w:rsidRPr="33F03C23">
              <w:rPr>
                <w:rFonts w:eastAsia="Calibri"/>
              </w:rPr>
              <w:t xml:space="preserve"> what is known as</w:t>
            </w:r>
            <w:r w:rsidR="66D508B1" w:rsidRPr="33F03C23">
              <w:rPr>
                <w:rFonts w:eastAsia="Calibri"/>
              </w:rPr>
              <w:t>,</w:t>
            </w:r>
            <w:r w:rsidRPr="33F03C23">
              <w:rPr>
                <w:rFonts w:eastAsia="Calibri"/>
              </w:rPr>
              <w:t xml:space="preserve"> the Gag Law. The document lists other issues that threaten fundamental protection</w:t>
            </w:r>
            <w:r w:rsidR="144A695B" w:rsidRPr="33F03C23">
              <w:rPr>
                <w:rFonts w:eastAsia="Calibri"/>
              </w:rPr>
              <w:t>:</w:t>
            </w:r>
            <w:r w:rsidRPr="33F03C23">
              <w:rPr>
                <w:rFonts w:eastAsia="Calibri"/>
              </w:rPr>
              <w:t xml:space="preserve"> the lack of journalistic economic stability as well as external pressures, also political </w:t>
            </w:r>
            <w:hyperlink r:id="rId21">
              <w:r w:rsidRPr="33F03C23">
                <w:rPr>
                  <w:rFonts w:eastAsia="Calibri"/>
                  <w:color w:val="1155CC"/>
                  <w:u w:val="single"/>
                </w:rPr>
                <w:t>(Suau et al. 2023)</w:t>
              </w:r>
            </w:hyperlink>
            <w:hyperlink r:id="rId22">
              <w:r w:rsidRPr="33F03C23">
                <w:rPr>
                  <w:rFonts w:eastAsia="Calibri"/>
                  <w:color w:val="1155CC"/>
                  <w:u w:val="single"/>
                </w:rPr>
                <w:t>.</w:t>
              </w:r>
            </w:hyperlink>
          </w:p>
          <w:p w14:paraId="426C47A9" w14:textId="77777777" w:rsidR="001D59BE" w:rsidRDefault="001D59BE" w:rsidP="00FC3565">
            <w:pPr>
              <w:cnfStyle w:val="000000100000" w:firstRow="0" w:lastRow="0" w:firstColumn="0" w:lastColumn="0" w:oddVBand="0" w:evenVBand="0" w:oddHBand="1" w:evenHBand="0" w:firstRowFirstColumn="0" w:firstRowLastColumn="0" w:lastRowFirstColumn="0" w:lastRowLastColumn="0"/>
              <w:rPr>
                <w:color w:val="1155CC"/>
                <w:u w:val="single"/>
              </w:rPr>
            </w:pPr>
          </w:p>
          <w:p w14:paraId="4F05F490" w14:textId="77911A74" w:rsidR="001D59BE" w:rsidRDefault="00D97AF7" w:rsidP="33F03C23">
            <w:pPr>
              <w:cnfStyle w:val="000000100000" w:firstRow="0" w:lastRow="0" w:firstColumn="0" w:lastColumn="0" w:oddVBand="0" w:evenVBand="0" w:oddHBand="1" w:evenHBand="0" w:firstRowFirstColumn="0" w:firstRowLastColumn="0" w:lastRowFirstColumn="0" w:lastRowLastColumn="0"/>
              <w:rPr>
                <w:rFonts w:eastAsia="Calibri"/>
              </w:rPr>
            </w:pPr>
            <w:r w:rsidRPr="33F03C23">
              <w:rPr>
                <w:rFonts w:eastAsia="Calibri"/>
              </w:rPr>
              <w:t xml:space="preserve">Market Plurality: Slightly higher than in the previous edition, this percentage </w:t>
            </w:r>
            <w:r w:rsidR="2F1FB2D9" w:rsidRPr="33F03C23">
              <w:rPr>
                <w:rFonts w:eastAsia="Calibri"/>
              </w:rPr>
              <w:t xml:space="preserve">reflects </w:t>
            </w:r>
            <w:r w:rsidRPr="33F03C23">
              <w:rPr>
                <w:rFonts w:eastAsia="Calibri"/>
              </w:rPr>
              <w:t xml:space="preserve">difficulties </w:t>
            </w:r>
            <w:r w:rsidR="7A43F07E" w:rsidRPr="33F03C23">
              <w:rPr>
                <w:rFonts w:eastAsia="Calibri"/>
              </w:rPr>
              <w:t>such as lack of</w:t>
            </w:r>
            <w:r w:rsidRPr="33F03C23">
              <w:rPr>
                <w:rFonts w:eastAsia="Calibri"/>
              </w:rPr>
              <w:t xml:space="preserve"> transparency regarding media ownership</w:t>
            </w:r>
            <w:r w:rsidR="26CABE97" w:rsidRPr="33F03C23">
              <w:rPr>
                <w:rFonts w:eastAsia="Calibri"/>
              </w:rPr>
              <w:t xml:space="preserve"> and</w:t>
            </w:r>
            <w:r w:rsidRPr="33F03C23">
              <w:rPr>
                <w:rFonts w:eastAsia="Calibri"/>
              </w:rPr>
              <w:t xml:space="preserve"> media transparency</w:t>
            </w:r>
            <w:r w:rsidR="0F34E787" w:rsidRPr="33F03C23">
              <w:rPr>
                <w:rFonts w:eastAsia="Calibri"/>
              </w:rPr>
              <w:t>,</w:t>
            </w:r>
            <w:r w:rsidRPr="33F03C23">
              <w:rPr>
                <w:rFonts w:eastAsia="Calibri"/>
              </w:rPr>
              <w:t xml:space="preserve"> and</w:t>
            </w:r>
            <w:r w:rsidR="31DB9519" w:rsidRPr="33F03C23">
              <w:rPr>
                <w:rFonts w:eastAsia="Calibri"/>
              </w:rPr>
              <w:t xml:space="preserve"> the problem of</w:t>
            </w:r>
            <w:r w:rsidRPr="33F03C23">
              <w:rPr>
                <w:rFonts w:eastAsia="Calibri"/>
              </w:rPr>
              <w:t xml:space="preserve"> media concentration, including digital media. </w:t>
            </w:r>
          </w:p>
          <w:p w14:paraId="32840DCF" w14:textId="77777777" w:rsidR="00FC3565" w:rsidRDefault="00FC3565" w:rsidP="00FC3565">
            <w:pPr>
              <w:cnfStyle w:val="000000100000" w:firstRow="0" w:lastRow="0" w:firstColumn="0" w:lastColumn="0" w:oddVBand="0" w:evenVBand="0" w:oddHBand="1" w:evenHBand="0" w:firstRowFirstColumn="0" w:firstRowLastColumn="0" w:lastRowFirstColumn="0" w:lastRowLastColumn="0"/>
            </w:pPr>
          </w:p>
          <w:p w14:paraId="0F127B58" w14:textId="5D8B8D36" w:rsidR="001D59BE" w:rsidRDefault="00D97AF7" w:rsidP="00FC3565">
            <w:pPr>
              <w:cnfStyle w:val="000000100000" w:firstRow="0" w:lastRow="0" w:firstColumn="0" w:lastColumn="0" w:oddVBand="0" w:evenVBand="0" w:oddHBand="1" w:evenHBand="0" w:firstRowFirstColumn="0" w:firstRowLastColumn="0" w:lastRowFirstColumn="0" w:lastRowLastColumn="0"/>
              <w:rPr>
                <w:color w:val="1155CC"/>
                <w:u w:val="single"/>
              </w:rPr>
            </w:pPr>
            <w:r>
              <w:t>Political Independence: This indicator remains unchanged, and highlights that ‘</w:t>
            </w:r>
            <w:r>
              <w:rPr>
                <w:color w:val="000000"/>
              </w:rPr>
              <w:t>the lack of editorial autonomy and safeguards for political independence of media, both public and private, continues to endanger media pluralism</w:t>
            </w:r>
            <w:r>
              <w:t xml:space="preserve">’ </w:t>
            </w:r>
            <w:hyperlink r:id="rId23" w:history="1">
              <w:r>
                <w:rPr>
                  <w:color w:val="1155CC"/>
                  <w:u w:val="single"/>
                </w:rPr>
                <w:t>(</w:t>
              </w:r>
            </w:hyperlink>
            <w:hyperlink r:id="rId24" w:history="1">
              <w:r>
                <w:rPr>
                  <w:rFonts w:eastAsia="Calibri"/>
                  <w:color w:val="1155CC"/>
                  <w:u w:val="single"/>
                </w:rPr>
                <w:t>Suau et al. 2023: p.8</w:t>
              </w:r>
            </w:hyperlink>
            <w:hyperlink r:id="rId25" w:history="1">
              <w:r>
                <w:rPr>
                  <w:color w:val="1155CC"/>
                  <w:u w:val="single"/>
                </w:rPr>
                <w:t>).</w:t>
              </w:r>
            </w:hyperlink>
          </w:p>
          <w:p w14:paraId="53129AD6" w14:textId="77777777" w:rsidR="001D59BE" w:rsidRDefault="001D59BE" w:rsidP="00FC3565">
            <w:pPr>
              <w:cnfStyle w:val="000000100000" w:firstRow="0" w:lastRow="0" w:firstColumn="0" w:lastColumn="0" w:oddVBand="0" w:evenVBand="0" w:oddHBand="1" w:evenHBand="0" w:firstRowFirstColumn="0" w:firstRowLastColumn="0" w:lastRowFirstColumn="0" w:lastRowLastColumn="0"/>
            </w:pPr>
          </w:p>
          <w:p w14:paraId="0BCAE29B" w14:textId="3F0F86E4" w:rsidR="00983694" w:rsidRPr="005860A0" w:rsidRDefault="00D97AF7" w:rsidP="00FC3565">
            <w:pPr>
              <w:cnfStyle w:val="000000100000" w:firstRow="0" w:lastRow="0" w:firstColumn="0" w:lastColumn="0" w:oddVBand="0" w:evenVBand="0" w:oddHBand="1" w:evenHBand="0" w:firstRowFirstColumn="0" w:firstRowLastColumn="0" w:lastRowFirstColumn="0" w:lastRowLastColumn="0"/>
            </w:pPr>
            <w:r>
              <w:rPr>
                <w:rFonts w:eastAsia="Calibri"/>
              </w:rPr>
              <w:t xml:space="preserve">Social Inclusiveness (54% - medium risk). Lower percentage in this case due to methodological changes. This report identifies the lack of female actors in </w:t>
            </w:r>
            <w:r>
              <w:t>positions</w:t>
            </w:r>
            <w:r>
              <w:rPr>
                <w:rFonts w:eastAsia="Calibri"/>
              </w:rPr>
              <w:t xml:space="preserve"> of power as well as differences in salaries between genders, and the lack of representation of minorities. </w:t>
            </w:r>
            <w:r>
              <w:rPr>
                <w:rFonts w:eastAsia="Calibri"/>
              </w:rPr>
              <w:lastRenderedPageBreak/>
              <w:t>There are also issues about social inclusiveness affecting media regulation for national and community media</w:t>
            </w:r>
            <w:r w:rsidR="005E531D">
              <w:rPr>
                <w:rFonts w:eastAsia="Calibri"/>
              </w:rPr>
              <w:t xml:space="preserve"> </w:t>
            </w:r>
            <w:hyperlink r:id="rId26" w:history="1">
              <w:r>
                <w:rPr>
                  <w:rFonts w:eastAsia="Calibri"/>
                  <w:color w:val="1155CC"/>
                  <w:u w:val="single"/>
                </w:rPr>
                <w:t>(</w:t>
              </w:r>
            </w:hyperlink>
            <w:hyperlink r:id="rId27" w:history="1">
              <w:r>
                <w:rPr>
                  <w:rFonts w:eastAsia="Calibri"/>
                  <w:color w:val="1155CC"/>
                  <w:u w:val="single"/>
                </w:rPr>
                <w:t>Suau et al. 2023).</w:t>
              </w:r>
            </w:hyperlink>
          </w:p>
        </w:tc>
      </w:tr>
      <w:tr w:rsidR="000F492D" w14:paraId="7C252332" w14:textId="77777777" w:rsidTr="33F03C2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54C3E89"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lastRenderedPageBreak/>
              <w:t>2.4</w:t>
            </w:r>
          </w:p>
        </w:tc>
        <w:tc>
          <w:tcPr>
            <w:tcW w:w="2126" w:type="dxa"/>
          </w:tcPr>
          <w:p w14:paraId="0907F51A" w14:textId="77777777" w:rsidR="00786213"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2B4677">
              <w:rPr>
                <w:color w:val="auto"/>
              </w:rPr>
              <w:t xml:space="preserve">Media Market </w:t>
            </w:r>
            <w:r w:rsidRPr="00102F13">
              <w:t>(</w:t>
            </w:r>
            <w:r w:rsidRPr="00310047">
              <w:rPr>
                <w:b w:val="0"/>
                <w:bCs w:val="0"/>
              </w:rPr>
              <w:t>MM)</w:t>
            </w:r>
          </w:p>
        </w:tc>
        <w:tc>
          <w:tcPr>
            <w:tcW w:w="2127" w:type="dxa"/>
          </w:tcPr>
          <w:p w14:paraId="115291AF" w14:textId="77777777" w:rsidR="00786213" w:rsidRDefault="00786213"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ACD7188" w14:textId="58FE18A5" w:rsidR="00993CFE" w:rsidRPr="00993CFE" w:rsidRDefault="00993CFE" w:rsidP="00993CFE">
            <w:pPr>
              <w:pStyle w:val="Classificationcolumntext"/>
              <w:cnfStyle w:val="000000000000" w:firstRow="0" w:lastRow="0" w:firstColumn="0" w:lastColumn="0" w:oddVBand="0" w:evenVBand="0" w:oddHBand="0" w:evenHBand="0" w:firstRowFirstColumn="0" w:firstRowLastColumn="0" w:lastRowFirstColumn="0" w:lastRowLastColumn="0"/>
              <w:rPr>
                <w:rFonts w:eastAsiaTheme="minorHAnsi" w:cstheme="minorBidi"/>
                <w:color w:val="auto"/>
              </w:rPr>
            </w:pPr>
            <w:r w:rsidRPr="00993CFE">
              <w:rPr>
                <w:rFonts w:eastAsiaTheme="minorHAnsi" w:cstheme="minorBidi"/>
                <w:color w:val="auto"/>
              </w:rPr>
              <w:t xml:space="preserve">Spain is experiencing a change in media consumption, as Spaniards consume less and less television and audiences are shifting towards Internet content and new streaming platforms. </w:t>
            </w:r>
            <w:hyperlink r:id="rId28" w:history="1">
              <w:r w:rsidRPr="00993CFE">
                <w:rPr>
                  <w:rStyle w:val="Hyperlink"/>
                  <w:rFonts w:eastAsiaTheme="minorHAnsi" w:cstheme="minorBidi"/>
                </w:rPr>
                <w:t>Kreab Report 2023</w:t>
              </w:r>
            </w:hyperlink>
            <w:r w:rsidRPr="00993CFE">
              <w:rPr>
                <w:rFonts w:eastAsiaTheme="minorHAnsi" w:cstheme="minorBidi"/>
                <w:color w:val="auto"/>
              </w:rPr>
              <w:t>.</w:t>
            </w:r>
          </w:p>
          <w:p w14:paraId="668959C7" w14:textId="136EF3B7" w:rsidR="00993CFE" w:rsidRPr="00993CFE" w:rsidRDefault="00993CFE" w:rsidP="00993CFE">
            <w:pPr>
              <w:pStyle w:val="Classificationcolumntext"/>
              <w:cnfStyle w:val="000000000000" w:firstRow="0" w:lastRow="0" w:firstColumn="0" w:lastColumn="0" w:oddVBand="0" w:evenVBand="0" w:oddHBand="0" w:evenHBand="0" w:firstRowFirstColumn="0" w:firstRowLastColumn="0" w:lastRowFirstColumn="0" w:lastRowLastColumn="0"/>
              <w:rPr>
                <w:rFonts w:eastAsiaTheme="minorHAnsi" w:cstheme="minorBidi"/>
                <w:color w:val="auto"/>
              </w:rPr>
            </w:pPr>
            <w:r w:rsidRPr="00993CFE">
              <w:rPr>
                <w:rFonts w:eastAsiaTheme="minorHAnsi" w:cstheme="minorBidi"/>
                <w:color w:val="auto"/>
              </w:rPr>
              <w:t>The</w:t>
            </w:r>
            <w:r w:rsidR="005E531D">
              <w:rPr>
                <w:rFonts w:eastAsiaTheme="minorHAnsi" w:cstheme="minorBidi"/>
                <w:color w:val="auto"/>
              </w:rPr>
              <w:t>re is a decrease in press consumption</w:t>
            </w:r>
            <w:r w:rsidRPr="00993CFE">
              <w:rPr>
                <w:rFonts w:eastAsiaTheme="minorHAnsi" w:cstheme="minorBidi"/>
                <w:color w:val="auto"/>
              </w:rPr>
              <w:t xml:space="preserve">, although </w:t>
            </w:r>
            <w:r w:rsidR="005E531D">
              <w:rPr>
                <w:rFonts w:eastAsiaTheme="minorHAnsi" w:cstheme="minorBidi"/>
                <w:color w:val="auto"/>
              </w:rPr>
              <w:t>emerging</w:t>
            </w:r>
            <w:r w:rsidRPr="00993CFE">
              <w:rPr>
                <w:rFonts w:eastAsiaTheme="minorHAnsi" w:cstheme="minorBidi"/>
                <w:color w:val="auto"/>
              </w:rPr>
              <w:t xml:space="preserve"> digital newspapers </w:t>
            </w:r>
            <w:r w:rsidR="005E531D">
              <w:rPr>
                <w:rFonts w:eastAsiaTheme="minorHAnsi" w:cstheme="minorBidi"/>
                <w:color w:val="auto"/>
              </w:rPr>
              <w:t xml:space="preserve">have </w:t>
            </w:r>
            <w:r w:rsidRPr="00993CFE">
              <w:rPr>
                <w:rFonts w:eastAsiaTheme="minorHAnsi" w:cstheme="minorBidi"/>
                <w:color w:val="auto"/>
              </w:rPr>
              <w:t>manage</w:t>
            </w:r>
            <w:r w:rsidR="005E531D">
              <w:rPr>
                <w:rFonts w:eastAsiaTheme="minorHAnsi" w:cstheme="minorBidi"/>
                <w:color w:val="auto"/>
              </w:rPr>
              <w:t>d</w:t>
            </w:r>
            <w:r w:rsidRPr="00993CFE">
              <w:rPr>
                <w:rFonts w:eastAsiaTheme="minorHAnsi" w:cstheme="minorBidi"/>
                <w:color w:val="auto"/>
              </w:rPr>
              <w:t xml:space="preserve"> to consolidate themselves by basing their financing on the subscription system.</w:t>
            </w:r>
          </w:p>
          <w:p w14:paraId="3E460C5F" w14:textId="77777777" w:rsidR="00993CFE" w:rsidRPr="00993CFE" w:rsidRDefault="00993CFE" w:rsidP="00993CFE">
            <w:pPr>
              <w:pStyle w:val="Classificationcolumntext"/>
              <w:cnfStyle w:val="000000000000" w:firstRow="0" w:lastRow="0" w:firstColumn="0" w:lastColumn="0" w:oddVBand="0" w:evenVBand="0" w:oddHBand="0" w:evenHBand="0" w:firstRowFirstColumn="0" w:firstRowLastColumn="0" w:lastRowFirstColumn="0" w:lastRowLastColumn="0"/>
              <w:rPr>
                <w:rFonts w:eastAsiaTheme="minorHAnsi" w:cstheme="minorBidi"/>
                <w:color w:val="auto"/>
              </w:rPr>
            </w:pPr>
            <w:r w:rsidRPr="00993CFE">
              <w:rPr>
                <w:rFonts w:eastAsiaTheme="minorHAnsi" w:cstheme="minorBidi"/>
                <w:color w:val="auto"/>
              </w:rPr>
              <w:t xml:space="preserve">Radio broadcasting continues to be led by traditional networks (SER, COPE), but the podcast format stands out as the preferred format for listeners. </w:t>
            </w:r>
          </w:p>
          <w:p w14:paraId="205573A0" w14:textId="77777777" w:rsidR="00993CFE" w:rsidRPr="00993CFE" w:rsidRDefault="00993CFE" w:rsidP="00993CFE">
            <w:pPr>
              <w:pStyle w:val="Classificationcolumntext"/>
              <w:cnfStyle w:val="000000000000" w:firstRow="0" w:lastRow="0" w:firstColumn="0" w:lastColumn="0" w:oddVBand="0" w:evenVBand="0" w:oddHBand="0" w:evenHBand="0" w:firstRowFirstColumn="0" w:firstRowLastColumn="0" w:lastRowFirstColumn="0" w:lastRowLastColumn="0"/>
              <w:rPr>
                <w:rFonts w:eastAsiaTheme="minorHAnsi" w:cstheme="minorBidi"/>
                <w:color w:val="auto"/>
              </w:rPr>
            </w:pPr>
            <w:r w:rsidRPr="00993CFE">
              <w:rPr>
                <w:rFonts w:eastAsiaTheme="minorHAnsi" w:cstheme="minorBidi"/>
                <w:color w:val="auto"/>
              </w:rPr>
              <w:t xml:space="preserve">In the international context, Spain has a presence considered notable according to the figures: </w:t>
            </w:r>
          </w:p>
          <w:p w14:paraId="0941962C" w14:textId="5053A348" w:rsidR="00993CFE" w:rsidRPr="00993CFE" w:rsidRDefault="00993CFE" w:rsidP="00993CFE">
            <w:pPr>
              <w:pStyle w:val="Classificationcolumntext"/>
              <w:cnfStyle w:val="000000000000" w:firstRow="0" w:lastRow="0" w:firstColumn="0" w:lastColumn="0" w:oddVBand="0" w:evenVBand="0" w:oddHBand="0" w:evenHBand="0" w:firstRowFirstColumn="0" w:firstRowLastColumn="0" w:lastRowFirstColumn="0" w:lastRowLastColumn="0"/>
              <w:rPr>
                <w:rFonts w:eastAsiaTheme="minorHAnsi" w:cstheme="minorBidi"/>
                <w:color w:val="auto"/>
              </w:rPr>
            </w:pPr>
            <w:r w:rsidRPr="00993CFE">
              <w:rPr>
                <w:rFonts w:eastAsiaTheme="minorHAnsi" w:cstheme="minorBidi"/>
                <w:color w:val="auto"/>
              </w:rPr>
              <w:t xml:space="preserve">In 2022, Spain remained in fifth place in Europe with respect to its information projection. </w:t>
            </w:r>
            <w:hyperlink r:id="rId29" w:history="1">
              <w:r w:rsidRPr="00993CFE">
                <w:rPr>
                  <w:rStyle w:val="Hyperlink"/>
                  <w:rFonts w:eastAsiaTheme="minorHAnsi" w:cstheme="minorBidi"/>
                </w:rPr>
                <w:t>Elcano Royal Institute.</w:t>
              </w:r>
            </w:hyperlink>
          </w:p>
          <w:p w14:paraId="342ACFAE" w14:textId="689FF71E" w:rsidR="00993CFE" w:rsidRPr="00993CFE" w:rsidRDefault="005E531D" w:rsidP="00993CFE">
            <w:pPr>
              <w:pStyle w:val="Classificationcolumntext"/>
              <w:cnfStyle w:val="000000000000" w:firstRow="0" w:lastRow="0" w:firstColumn="0" w:lastColumn="0" w:oddVBand="0" w:evenVBand="0" w:oddHBand="0" w:evenHBand="0" w:firstRowFirstColumn="0" w:firstRowLastColumn="0" w:lastRowFirstColumn="0" w:lastRowLastColumn="0"/>
              <w:rPr>
                <w:rFonts w:eastAsiaTheme="minorHAnsi" w:cstheme="minorBidi"/>
                <w:color w:val="auto"/>
              </w:rPr>
            </w:pPr>
            <w:r>
              <w:rPr>
                <w:rFonts w:eastAsiaTheme="minorHAnsi" w:cstheme="minorBidi"/>
                <w:color w:val="auto"/>
              </w:rPr>
              <w:t>R</w:t>
            </w:r>
            <w:r w:rsidR="00993CFE" w:rsidRPr="00993CFE">
              <w:rPr>
                <w:rFonts w:eastAsiaTheme="minorHAnsi" w:cstheme="minorBidi"/>
                <w:color w:val="auto"/>
              </w:rPr>
              <w:t xml:space="preserve">egarding the evolution of the sector in Spain, the competitiveness of Spanish companies has improved, with a strong positioning in international markets. Ministry of Economy, commerce and business: </w:t>
            </w:r>
            <w:hyperlink r:id="rId30" w:history="1">
              <w:r w:rsidR="00993CFE" w:rsidRPr="00993CFE">
                <w:rPr>
                  <w:rStyle w:val="Hyperlink"/>
                  <w:rFonts w:eastAsiaTheme="minorHAnsi" w:cstheme="minorBidi"/>
                </w:rPr>
                <w:t>foreign trade data 2023.</w:t>
              </w:r>
            </w:hyperlink>
          </w:p>
          <w:p w14:paraId="27AB92A2" w14:textId="00E8274C" w:rsidR="00786213" w:rsidRPr="00800F98" w:rsidRDefault="00993CFE" w:rsidP="00993CFE">
            <w:pPr>
              <w:cnfStyle w:val="000000000000" w:firstRow="0" w:lastRow="0" w:firstColumn="0" w:lastColumn="0" w:oddVBand="0" w:evenVBand="0" w:oddHBand="0" w:evenHBand="0" w:firstRowFirstColumn="0" w:firstRowLastColumn="0" w:lastRowFirstColumn="0" w:lastRowLastColumn="0"/>
              <w:rPr>
                <w:color w:val="000000"/>
              </w:rPr>
            </w:pPr>
            <w:r w:rsidRPr="00993CFE">
              <w:t>It is expected that</w:t>
            </w:r>
            <w:r w:rsidR="005E531D">
              <w:t>,</w:t>
            </w:r>
            <w:r w:rsidRPr="00993CFE">
              <w:t xml:space="preserve"> by 2024, the media market in Spain will reach 17,460 million dollars, with video television generating the largest volume (6,890 million</w:t>
            </w:r>
            <w:r w:rsidR="005E531D">
              <w:t>. T</w:t>
            </w:r>
            <w:r w:rsidRPr="00993CFE">
              <w:t>he highest income is expected to be obtaine</w:t>
            </w:r>
            <w:r>
              <w:t xml:space="preserve">d from the digital media market, </w:t>
            </w:r>
            <w:r w:rsidRPr="00993CFE">
              <w:t>around 40%.</w:t>
            </w:r>
            <w:r>
              <w:t xml:space="preserve"> </w:t>
            </w:r>
            <w:hyperlink r:id="rId31" w:history="1">
              <w:r w:rsidRPr="00993CFE">
                <w:rPr>
                  <w:rStyle w:val="Hyperlink"/>
                </w:rPr>
                <w:t>Statista Media Spain</w:t>
              </w:r>
            </w:hyperlink>
            <w:r>
              <w:t xml:space="preserve">. </w:t>
            </w:r>
          </w:p>
        </w:tc>
      </w:tr>
      <w:tr w:rsidR="000F492D" w14:paraId="4B18B472" w14:textId="77777777" w:rsidTr="33F03C2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7C426E8"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t>2.5</w:t>
            </w:r>
          </w:p>
        </w:tc>
        <w:tc>
          <w:tcPr>
            <w:tcW w:w="2126" w:type="dxa"/>
          </w:tcPr>
          <w:p w14:paraId="7B1561ED" w14:textId="77777777" w:rsidR="00786213"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2B4677">
              <w:rPr>
                <w:color w:val="auto"/>
              </w:rPr>
              <w:t>MM news publishing</w:t>
            </w:r>
          </w:p>
        </w:tc>
        <w:tc>
          <w:tcPr>
            <w:tcW w:w="2127" w:type="dxa"/>
          </w:tcPr>
          <w:p w14:paraId="7E5AC485" w14:textId="77777777" w:rsidR="00786213" w:rsidRDefault="00786213"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F64B036" w14:textId="77777777" w:rsidR="0085431F" w:rsidRPr="0085431F" w:rsidRDefault="0085431F" w:rsidP="0085431F">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85431F">
              <w:rPr>
                <w:rFonts w:cs="Arial"/>
              </w:rPr>
              <w:t xml:space="preserve">The Spanish press sector suffers a drop in news consumption through this medium. </w:t>
            </w:r>
          </w:p>
          <w:p w14:paraId="44C8E427" w14:textId="6538386B" w:rsidR="0085431F" w:rsidRPr="0085431F" w:rsidRDefault="0085431F" w:rsidP="0085431F">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85431F">
              <w:rPr>
                <w:rFonts w:cs="Arial"/>
              </w:rPr>
              <w:t>The data indicates that</w:t>
            </w:r>
            <w:r w:rsidR="005E531D">
              <w:rPr>
                <w:rFonts w:cs="Arial"/>
              </w:rPr>
              <w:t>,</w:t>
            </w:r>
            <w:r w:rsidRPr="0085431F">
              <w:rPr>
                <w:rFonts w:cs="Arial"/>
              </w:rPr>
              <w:t xml:space="preserve"> since the pandemic in 2020, the downward trend in this sector has accelerated. </w:t>
            </w:r>
          </w:p>
          <w:p w14:paraId="69E59285" w14:textId="7232DECA" w:rsidR="0085431F" w:rsidRPr="0085431F" w:rsidRDefault="0085431F" w:rsidP="0085431F">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85431F">
              <w:rPr>
                <w:rFonts w:cs="Arial"/>
              </w:rPr>
              <w:t xml:space="preserve">In 2023, the penetration of newspapers in Spain </w:t>
            </w:r>
            <w:r w:rsidR="005E531D">
              <w:rPr>
                <w:rFonts w:cs="Arial"/>
              </w:rPr>
              <w:t>reached a historical low at</w:t>
            </w:r>
            <w:r w:rsidRPr="0085431F">
              <w:rPr>
                <w:rFonts w:cs="Arial"/>
              </w:rPr>
              <w:t xml:space="preserve"> 13%, and it is the traditional newspapers that have registered the greatest loss of readers (El País reduced its sales by 9% in 2021).</w:t>
            </w:r>
          </w:p>
          <w:p w14:paraId="7B32133B" w14:textId="0F9CC494" w:rsidR="00786213" w:rsidRPr="0016559B" w:rsidRDefault="0085431F" w:rsidP="0085431F">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85431F">
              <w:rPr>
                <w:rFonts w:cs="Arial"/>
              </w:rPr>
              <w:t xml:space="preserve">Prisa, Vocento and Unidad Editorial groups continue to remain the great leaders in terms of general press, but their business form is undergoing a model transition to face the new situation, </w:t>
            </w:r>
            <w:r w:rsidR="005E531D">
              <w:rPr>
                <w:rFonts w:cs="Arial"/>
              </w:rPr>
              <w:t>opting for</w:t>
            </w:r>
            <w:r w:rsidRPr="0085431F">
              <w:rPr>
                <w:rFonts w:cs="Arial"/>
              </w:rPr>
              <w:t xml:space="preserve"> payment information and digital subscriptions, to adapt to the new consumption habits of readers. </w:t>
            </w:r>
            <w:hyperlink r:id="rId32" w:anchor="topicOverview" w:history="1">
              <w:r w:rsidRPr="0085431F">
                <w:rPr>
                  <w:rStyle w:val="Hyperlink"/>
                  <w:rFonts w:cs="Arial"/>
                </w:rPr>
                <w:t>Statista, press consumption in Spain</w:t>
              </w:r>
            </w:hyperlink>
            <w:r>
              <w:rPr>
                <w:rFonts w:cs="Arial"/>
              </w:rPr>
              <w:t>.</w:t>
            </w:r>
          </w:p>
        </w:tc>
      </w:tr>
      <w:tr w:rsidR="000F492D" w14:paraId="32537013" w14:textId="77777777" w:rsidTr="33F03C2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DCF568E"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t>2.6</w:t>
            </w:r>
          </w:p>
        </w:tc>
        <w:tc>
          <w:tcPr>
            <w:tcW w:w="2126" w:type="dxa"/>
          </w:tcPr>
          <w:p w14:paraId="66383098" w14:textId="77777777" w:rsidR="00786213"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102F13">
              <w:t>MM AV production</w:t>
            </w:r>
          </w:p>
        </w:tc>
        <w:tc>
          <w:tcPr>
            <w:tcW w:w="2127" w:type="dxa"/>
          </w:tcPr>
          <w:p w14:paraId="14AD1B1A" w14:textId="77777777" w:rsidR="00786213" w:rsidRDefault="00786213"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FF56CCA" w14:textId="77777777" w:rsidR="004A6E0E" w:rsidRPr="004A6E0E" w:rsidRDefault="00D97AF7" w:rsidP="00FC3565">
            <w:pPr>
              <w:jc w:val="both"/>
              <w:cnfStyle w:val="000000000000" w:firstRow="0" w:lastRow="0" w:firstColumn="0" w:lastColumn="0" w:oddVBand="0" w:evenVBand="0" w:oddHBand="0" w:evenHBand="0" w:firstRowFirstColumn="0" w:firstRowLastColumn="0" w:lastRowFirstColumn="0" w:lastRowLastColumn="0"/>
              <w:rPr>
                <w:rFonts w:cs="Arial"/>
              </w:rPr>
            </w:pPr>
            <w:r w:rsidRPr="004A6E0E">
              <w:rPr>
                <w:rFonts w:cs="Arial"/>
              </w:rPr>
              <w:t xml:space="preserve">According </w:t>
            </w:r>
            <w:r w:rsidRPr="004A6E0E">
              <w:rPr>
                <w:rFonts w:cs="Arial"/>
                <w:i/>
              </w:rPr>
              <w:t>the Informe Spain Audiovisual Hub April 2023</w:t>
            </w:r>
            <w:r w:rsidRPr="004A6E0E">
              <w:rPr>
                <w:rFonts w:cs="Arial"/>
              </w:rPr>
              <w:t xml:space="preserve"> (</w:t>
            </w:r>
            <w:hyperlink r:id="rId33" w:history="1">
              <w:r w:rsidRPr="004A6E0E">
                <w:rPr>
                  <w:rStyle w:val="Hyperlink"/>
                  <w:rFonts w:cs="Arial"/>
                </w:rPr>
                <w:t>Spain Audiovisual Hub 2023</w:t>
              </w:r>
            </w:hyperlink>
            <w:r w:rsidRPr="004A6E0E">
              <w:rPr>
                <w:rFonts w:cs="Arial"/>
              </w:rPr>
              <w:t>) the audiovisual production figures highlighted are:</w:t>
            </w:r>
          </w:p>
          <w:p w14:paraId="155B7201" w14:textId="77777777" w:rsidR="004A6E0E" w:rsidRPr="004A6E0E" w:rsidRDefault="00D97AF7" w:rsidP="00FC3565">
            <w:pPr>
              <w:pStyle w:val="ListParagraph"/>
              <w:numPr>
                <w:ilvl w:val="0"/>
                <w:numId w:val="19"/>
              </w:numPr>
              <w:jc w:val="both"/>
              <w:cnfStyle w:val="000000000000" w:firstRow="0" w:lastRow="0" w:firstColumn="0" w:lastColumn="0" w:oddVBand="0" w:evenVBand="0" w:oddHBand="0" w:evenHBand="0" w:firstRowFirstColumn="0" w:firstRowLastColumn="0" w:lastRowFirstColumn="0" w:lastRowLastColumn="0"/>
              <w:rPr>
                <w:rFonts w:cs="Arial"/>
              </w:rPr>
            </w:pPr>
            <w:r w:rsidRPr="004A6E0E">
              <w:rPr>
                <w:rFonts w:cs="Arial"/>
              </w:rPr>
              <w:lastRenderedPageBreak/>
              <w:t xml:space="preserve">Revenue Growth: increase of 7.2% per year between 2016 and 2021 </w:t>
            </w:r>
          </w:p>
          <w:p w14:paraId="70314410" w14:textId="77777777" w:rsidR="004A6E0E" w:rsidRPr="004A6E0E" w:rsidRDefault="00D97AF7" w:rsidP="00FC3565">
            <w:pPr>
              <w:pStyle w:val="ListParagraph"/>
              <w:numPr>
                <w:ilvl w:val="0"/>
                <w:numId w:val="19"/>
              </w:numPr>
              <w:jc w:val="both"/>
              <w:cnfStyle w:val="000000000000" w:firstRow="0" w:lastRow="0" w:firstColumn="0" w:lastColumn="0" w:oddVBand="0" w:evenVBand="0" w:oddHBand="0" w:evenHBand="0" w:firstRowFirstColumn="0" w:firstRowLastColumn="0" w:lastRowFirstColumn="0" w:lastRowLastColumn="0"/>
              <w:rPr>
                <w:rFonts w:cs="Arial"/>
              </w:rPr>
            </w:pPr>
            <w:r w:rsidRPr="004A6E0E">
              <w:rPr>
                <w:rFonts w:cs="Arial"/>
              </w:rPr>
              <w:t>Companies in the Sector: 8,872 (in 2021)</w:t>
            </w:r>
          </w:p>
          <w:p w14:paraId="2D0D0064" w14:textId="77777777" w:rsidR="004A6E0E" w:rsidRPr="004A6E0E" w:rsidRDefault="00D97AF7" w:rsidP="00FC3565">
            <w:pPr>
              <w:pStyle w:val="ListParagraph"/>
              <w:numPr>
                <w:ilvl w:val="0"/>
                <w:numId w:val="19"/>
              </w:numPr>
              <w:jc w:val="both"/>
              <w:cnfStyle w:val="000000000000" w:firstRow="0" w:lastRow="0" w:firstColumn="0" w:lastColumn="0" w:oddVBand="0" w:evenVBand="0" w:oddHBand="0" w:evenHBand="0" w:firstRowFirstColumn="0" w:firstRowLastColumn="0" w:lastRowFirstColumn="0" w:lastRowLastColumn="0"/>
              <w:rPr>
                <w:rFonts w:cs="Arial"/>
              </w:rPr>
            </w:pPr>
            <w:r w:rsidRPr="004A6E0E">
              <w:rPr>
                <w:rFonts w:cs="Arial"/>
              </w:rPr>
              <w:t>Feature Films: Spain occupies an intermediate position in feature film production.</w:t>
            </w:r>
          </w:p>
          <w:p w14:paraId="66D4C96D" w14:textId="76E1B7D1" w:rsidR="004A6E0E" w:rsidRPr="004A6E0E" w:rsidRDefault="00D97AF7" w:rsidP="00FC3565">
            <w:pPr>
              <w:pStyle w:val="ListParagraph"/>
              <w:numPr>
                <w:ilvl w:val="0"/>
                <w:numId w:val="19"/>
              </w:numPr>
              <w:jc w:val="both"/>
              <w:cnfStyle w:val="000000000000" w:firstRow="0" w:lastRow="0" w:firstColumn="0" w:lastColumn="0" w:oddVBand="0" w:evenVBand="0" w:oddHBand="0" w:evenHBand="0" w:firstRowFirstColumn="0" w:firstRowLastColumn="0" w:lastRowFirstColumn="0" w:lastRowLastColumn="0"/>
              <w:rPr>
                <w:rFonts w:cs="Arial"/>
              </w:rPr>
            </w:pPr>
            <w:r w:rsidRPr="004A6E0E">
              <w:rPr>
                <w:rFonts w:cs="Arial"/>
              </w:rPr>
              <w:t>Short Films: 59.1%</w:t>
            </w:r>
            <w:r w:rsidR="005E531D">
              <w:rPr>
                <w:rFonts w:cs="Arial"/>
              </w:rPr>
              <w:t xml:space="preserve"> increase</w:t>
            </w:r>
            <w:r w:rsidRPr="004A6E0E">
              <w:rPr>
                <w:rFonts w:cs="Arial"/>
              </w:rPr>
              <w:t>.</w:t>
            </w:r>
          </w:p>
          <w:p w14:paraId="0C405748" w14:textId="39323908" w:rsidR="00786213" w:rsidRPr="004A6E0E" w:rsidRDefault="00D97AF7" w:rsidP="00FC3565">
            <w:pPr>
              <w:pStyle w:val="ListParagraph"/>
              <w:numPr>
                <w:ilvl w:val="0"/>
                <w:numId w:val="19"/>
              </w:numPr>
              <w:cnfStyle w:val="000000000000" w:firstRow="0" w:lastRow="0" w:firstColumn="0" w:lastColumn="0" w:oddVBand="0" w:evenVBand="0" w:oddHBand="0" w:evenHBand="0" w:firstRowFirstColumn="0" w:firstRowLastColumn="0" w:lastRowFirstColumn="0" w:lastRowLastColumn="0"/>
              <w:rPr>
                <w:rFonts w:cs="Arial"/>
              </w:rPr>
            </w:pPr>
            <w:r w:rsidRPr="004A6E0E">
              <w:rPr>
                <w:rFonts w:cs="Arial"/>
              </w:rPr>
              <w:t xml:space="preserve">Film Revenues: Spain </w:t>
            </w:r>
            <w:r w:rsidR="005E531D">
              <w:rPr>
                <w:rFonts w:cs="Arial"/>
              </w:rPr>
              <w:t>occupies the</w:t>
            </w:r>
            <w:r w:rsidRPr="004A6E0E">
              <w:rPr>
                <w:rFonts w:cs="Arial"/>
              </w:rPr>
              <w:t xml:space="preserve"> 12th position in the ranking of film revenues.</w:t>
            </w:r>
          </w:p>
          <w:p w14:paraId="1B61223A" w14:textId="77777777" w:rsidR="004A6E0E" w:rsidRDefault="004A6E0E" w:rsidP="00FC3565">
            <w:pPr>
              <w:cnfStyle w:val="000000000000" w:firstRow="0" w:lastRow="0" w:firstColumn="0" w:lastColumn="0" w:oddVBand="0" w:evenVBand="0" w:oddHBand="0" w:evenHBand="0" w:firstRowFirstColumn="0" w:firstRowLastColumn="0" w:lastRowFirstColumn="0" w:lastRowLastColumn="0"/>
              <w:rPr>
                <w:rFonts w:cs="Arial"/>
              </w:rPr>
            </w:pPr>
          </w:p>
          <w:p w14:paraId="024C936B" w14:textId="111F94F4" w:rsidR="004A6E0E" w:rsidRDefault="00D97AF7" w:rsidP="00FC3565">
            <w:pPr>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According to </w:t>
            </w:r>
            <w:hyperlink r:id="rId34" w:history="1">
              <w:r>
                <w:rPr>
                  <w:rStyle w:val="Hyperlink"/>
                  <w:rFonts w:cs="Arial"/>
                </w:rPr>
                <w:t>Spain Audiovisual Hub (2023</w:t>
              </w:r>
            </w:hyperlink>
            <w:r w:rsidRPr="004A6E0E">
              <w:rPr>
                <w:rFonts w:cs="Arial"/>
              </w:rPr>
              <w:t>)</w:t>
            </w:r>
            <w:r w:rsidR="005E531D">
              <w:rPr>
                <w:rFonts w:cs="Arial"/>
              </w:rPr>
              <w:t>,</w:t>
            </w:r>
            <w:r w:rsidRPr="004A6E0E">
              <w:rPr>
                <w:rFonts w:cs="Arial"/>
              </w:rPr>
              <w:t xml:space="preserve"> Spain leads Europe in audiovisual sector growth and content investment</w:t>
            </w:r>
            <w:r>
              <w:rPr>
                <w:rFonts w:cs="Arial"/>
              </w:rPr>
              <w:t>,</w:t>
            </w:r>
            <w:r w:rsidRPr="004A6E0E">
              <w:rPr>
                <w:rFonts w:cs="Arial"/>
              </w:rPr>
              <w:t xml:space="preserve"> with </w:t>
            </w:r>
            <w:r w:rsidR="005E531D">
              <w:rPr>
                <w:rFonts w:cs="Arial"/>
              </w:rPr>
              <w:t xml:space="preserve">a </w:t>
            </w:r>
            <w:r w:rsidRPr="004A6E0E">
              <w:rPr>
                <w:rFonts w:cs="Arial"/>
              </w:rPr>
              <w:t>compound annual revenue growth of 5.7% and content investment growth of 7.2%</w:t>
            </w:r>
            <w:r>
              <w:rPr>
                <w:rFonts w:cs="Arial"/>
              </w:rPr>
              <w:t xml:space="preserve"> between 2016 and 2021</w:t>
            </w:r>
            <w:r w:rsidRPr="004A6E0E">
              <w:rPr>
                <w:rFonts w:cs="Arial"/>
              </w:rPr>
              <w:t xml:space="preserve">. In 2021, there were 8,872 companies dedicated to audiovisual and video game production, </w:t>
            </w:r>
            <w:r>
              <w:rPr>
                <w:rFonts w:cs="Arial"/>
              </w:rPr>
              <w:t xml:space="preserve">an increase of </w:t>
            </w:r>
            <w:r w:rsidRPr="004A6E0E">
              <w:rPr>
                <w:rFonts w:cs="Arial"/>
              </w:rPr>
              <w:t xml:space="preserve">274 companies </w:t>
            </w:r>
            <w:r w:rsidR="005E531D">
              <w:rPr>
                <w:rFonts w:cs="Arial"/>
              </w:rPr>
              <w:t>compared to</w:t>
            </w:r>
            <w:r>
              <w:rPr>
                <w:rFonts w:cs="Arial"/>
              </w:rPr>
              <w:t xml:space="preserve"> </w:t>
            </w:r>
            <w:r w:rsidRPr="004A6E0E">
              <w:rPr>
                <w:rFonts w:cs="Arial"/>
              </w:rPr>
              <w:t xml:space="preserve">the previous year. </w:t>
            </w:r>
            <w:r>
              <w:rPr>
                <w:rFonts w:cs="Arial"/>
              </w:rPr>
              <w:t>F</w:t>
            </w:r>
            <w:r w:rsidRPr="004A6E0E">
              <w:rPr>
                <w:rFonts w:cs="Arial"/>
              </w:rPr>
              <w:t>or feature films, the general trend reflects a certain stability</w:t>
            </w:r>
            <w:r>
              <w:rPr>
                <w:rFonts w:cs="Arial"/>
              </w:rPr>
              <w:t xml:space="preserve">, with Spain occupying an </w:t>
            </w:r>
            <w:r w:rsidRPr="004A6E0E">
              <w:rPr>
                <w:rFonts w:cs="Arial"/>
              </w:rPr>
              <w:t>intermediate position</w:t>
            </w:r>
            <w:r>
              <w:rPr>
                <w:rFonts w:cs="Arial"/>
              </w:rPr>
              <w:t xml:space="preserve"> amongst EU countries</w:t>
            </w:r>
            <w:r w:rsidRPr="004A6E0E">
              <w:rPr>
                <w:rFonts w:cs="Arial"/>
              </w:rPr>
              <w:t xml:space="preserve">. </w:t>
            </w:r>
            <w:r>
              <w:rPr>
                <w:rFonts w:cs="Arial"/>
              </w:rPr>
              <w:t>P</w:t>
            </w:r>
            <w:r w:rsidRPr="004A6E0E">
              <w:rPr>
                <w:rFonts w:cs="Arial"/>
              </w:rPr>
              <w:t xml:space="preserve">roduction of short films showed an upward trend during 2017- 2021, with 175 productions, an increase of 59.1%. In addition, Spain </w:t>
            </w:r>
            <w:r w:rsidR="005E531D">
              <w:rPr>
                <w:rFonts w:cs="Arial"/>
              </w:rPr>
              <w:t>occupies the</w:t>
            </w:r>
            <w:r w:rsidRPr="004A6E0E">
              <w:rPr>
                <w:rFonts w:cs="Arial"/>
              </w:rPr>
              <w:t xml:space="preserve"> 12th position in the</w:t>
            </w:r>
            <w:r w:rsidR="00B34833">
              <w:rPr>
                <w:rFonts w:cs="Arial"/>
              </w:rPr>
              <w:t xml:space="preserve"> </w:t>
            </w:r>
            <w:r w:rsidRPr="004A6E0E">
              <w:rPr>
                <w:rFonts w:cs="Arial"/>
              </w:rPr>
              <w:t>ranking of film revenues (including box office revenues, advertising revenues and revenues from physical and digital TV and home video programming)</w:t>
            </w:r>
            <w:r w:rsidR="00B34833">
              <w:rPr>
                <w:rFonts w:cs="Arial"/>
              </w:rPr>
              <w:t>.</w:t>
            </w:r>
          </w:p>
          <w:p w14:paraId="27114775" w14:textId="77777777" w:rsidR="00993CFE" w:rsidRDefault="00993CFE" w:rsidP="00FC3565">
            <w:pPr>
              <w:cnfStyle w:val="000000000000" w:firstRow="0" w:lastRow="0" w:firstColumn="0" w:lastColumn="0" w:oddVBand="0" w:evenVBand="0" w:oddHBand="0" w:evenHBand="0" w:firstRowFirstColumn="0" w:firstRowLastColumn="0" w:lastRowFirstColumn="0" w:lastRowLastColumn="0"/>
              <w:rPr>
                <w:rFonts w:cs="Arial"/>
              </w:rPr>
            </w:pPr>
          </w:p>
          <w:p w14:paraId="786ABFF7" w14:textId="66A99D95" w:rsidR="00993CFE" w:rsidRPr="004A6E0E" w:rsidRDefault="00993CFE" w:rsidP="00FC3565">
            <w:pPr>
              <w:cnfStyle w:val="000000000000" w:firstRow="0" w:lastRow="0" w:firstColumn="0" w:lastColumn="0" w:oddVBand="0" w:evenVBand="0" w:oddHBand="0" w:evenHBand="0" w:firstRowFirstColumn="0" w:firstRowLastColumn="0" w:lastRowFirstColumn="0" w:lastRowLastColumn="0"/>
              <w:rPr>
                <w:rFonts w:cs="Arial"/>
              </w:rPr>
            </w:pPr>
          </w:p>
        </w:tc>
      </w:tr>
      <w:tr w:rsidR="000F492D" w14:paraId="60FB5E17" w14:textId="77777777" w:rsidTr="33F03C2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5FF60CB"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lastRenderedPageBreak/>
              <w:t>2.7</w:t>
            </w:r>
          </w:p>
        </w:tc>
        <w:tc>
          <w:tcPr>
            <w:tcW w:w="2126" w:type="dxa"/>
          </w:tcPr>
          <w:p w14:paraId="7131280E" w14:textId="77777777" w:rsidR="00786213"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t>MM Public Service Media</w:t>
            </w:r>
          </w:p>
        </w:tc>
        <w:tc>
          <w:tcPr>
            <w:tcW w:w="2127" w:type="dxa"/>
          </w:tcPr>
          <w:p w14:paraId="05DA98E6" w14:textId="77777777" w:rsidR="00786213" w:rsidRDefault="00786213"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E28741E" w14:textId="07CF5264" w:rsidR="00786213" w:rsidRPr="0016559B" w:rsidRDefault="001F0F5A" w:rsidP="00F92CC7">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1F0F5A">
              <w:rPr>
                <w:rFonts w:cs="Arial"/>
              </w:rPr>
              <w:t>According to the Media Plurality Monitor 2023 report (</w:t>
            </w:r>
            <w:hyperlink r:id="rId35" w:history="1">
              <w:r w:rsidRPr="001F0F5A">
                <w:rPr>
                  <w:rStyle w:val="Hyperlink"/>
                  <w:rFonts w:cs="Arial"/>
                </w:rPr>
                <w:t xml:space="preserve">Suau et al., 2023: </w:t>
              </w:r>
            </w:hyperlink>
            <w:r w:rsidRPr="001F0F5A">
              <w:rPr>
                <w:rFonts w:cs="Arial"/>
              </w:rPr>
              <w:t xml:space="preserve">6-7), 96% </w:t>
            </w:r>
            <w:r w:rsidR="005E531D">
              <w:rPr>
                <w:rFonts w:cs="Arial"/>
              </w:rPr>
              <w:t xml:space="preserve">of </w:t>
            </w:r>
            <w:r w:rsidRPr="001F0F5A">
              <w:rPr>
                <w:rFonts w:cs="Arial"/>
              </w:rPr>
              <w:t>households have broadband, 82% have some kind of computer device and nearly 95% of citizens used the internet in the 3 months period. 70% use social media, and 65% of the population consume online news according to AIMC data from the end of 2022. Television viewing is declining but was used by 78.5%, with radio 54%, magazines 22% and newspapers 14%. The Reuters Institute’s Digital News Report 2022 underscores a notable trend in news consumption, indicating a dwindling trust in news and a rising wave of scepticism and disinterest. Despite the generally low numbers, there is a growing segment of citizens subscribing to online news services.</w:t>
            </w:r>
          </w:p>
        </w:tc>
      </w:tr>
      <w:tr w:rsidR="000F492D" w14:paraId="6FDE573E" w14:textId="77777777" w:rsidTr="33F03C2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655853A"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t>2.8</w:t>
            </w:r>
          </w:p>
        </w:tc>
        <w:tc>
          <w:tcPr>
            <w:tcW w:w="2126" w:type="dxa"/>
          </w:tcPr>
          <w:p w14:paraId="39E4D8FD" w14:textId="77777777" w:rsidR="00786213"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2B4677">
              <w:rPr>
                <w:color w:val="auto"/>
              </w:rPr>
              <w:t>MM other</w:t>
            </w:r>
          </w:p>
        </w:tc>
        <w:tc>
          <w:tcPr>
            <w:tcW w:w="2127" w:type="dxa"/>
          </w:tcPr>
          <w:p w14:paraId="1B65305D" w14:textId="77777777" w:rsidR="00786213" w:rsidRDefault="00786213"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13B2FD4" w14:textId="77777777" w:rsidR="0085431F" w:rsidRPr="0085431F" w:rsidRDefault="0085431F" w:rsidP="0085431F">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sidRPr="0085431F">
              <w:rPr>
                <w:rFonts w:cs="Arial"/>
              </w:rPr>
              <w:t xml:space="preserve">The publishing market in Spain has improved from 2020 to 2024. </w:t>
            </w:r>
          </w:p>
          <w:p w14:paraId="06A6C5A4" w14:textId="77777777" w:rsidR="0085431F" w:rsidRPr="0085431F" w:rsidRDefault="0085431F" w:rsidP="0085431F">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sidRPr="0085431F">
              <w:rPr>
                <w:rFonts w:cs="Arial"/>
              </w:rPr>
              <w:t xml:space="preserve">In 2021, the sector grew by 5%, billing 2,576 million euros and a trend is observed towards the consumption of digital books, which increased its billing by 6%. </w:t>
            </w:r>
          </w:p>
          <w:p w14:paraId="13FD1A15" w14:textId="74A6AE3E" w:rsidR="00786213" w:rsidRPr="0016559B" w:rsidRDefault="0085431F" w:rsidP="0085431F">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sidRPr="0085431F">
              <w:rPr>
                <w:rFonts w:cs="Arial"/>
              </w:rPr>
              <w:t xml:space="preserve">For this reason, the publishing sector is </w:t>
            </w:r>
            <w:r w:rsidR="005E531D">
              <w:rPr>
                <w:rFonts w:cs="Arial"/>
              </w:rPr>
              <w:t xml:space="preserve">considered to be </w:t>
            </w:r>
            <w:r w:rsidRPr="0085431F">
              <w:rPr>
                <w:rFonts w:cs="Arial"/>
              </w:rPr>
              <w:t xml:space="preserve">on the rise since the covid-19 pandemic, and the data </w:t>
            </w:r>
            <w:r w:rsidRPr="0085431F">
              <w:rPr>
                <w:rFonts w:cs="Arial"/>
              </w:rPr>
              <w:lastRenderedPageBreak/>
              <w:t xml:space="preserve">suggests that it will continue to grow by around 5% in the coming years. </w:t>
            </w:r>
            <w:hyperlink r:id="rId36" w:history="1">
              <w:r w:rsidRPr="0085431F">
                <w:rPr>
                  <w:rStyle w:val="Hyperlink"/>
                  <w:rFonts w:cs="Arial"/>
                </w:rPr>
                <w:t>Analysis of the book market in Spain 2022.</w:t>
              </w:r>
            </w:hyperlink>
          </w:p>
        </w:tc>
      </w:tr>
      <w:tr w:rsidR="000F492D" w14:paraId="27AF83DC" w14:textId="77777777" w:rsidTr="33F03C2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C5C788"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lastRenderedPageBreak/>
              <w:t>2.9</w:t>
            </w:r>
          </w:p>
        </w:tc>
        <w:tc>
          <w:tcPr>
            <w:tcW w:w="2126" w:type="dxa"/>
          </w:tcPr>
          <w:p w14:paraId="2184765D" w14:textId="77777777" w:rsidR="00786213"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102F13">
              <w:t xml:space="preserve">Media Viability </w:t>
            </w:r>
          </w:p>
        </w:tc>
        <w:tc>
          <w:tcPr>
            <w:tcW w:w="2127" w:type="dxa"/>
          </w:tcPr>
          <w:p w14:paraId="71BD8BF9" w14:textId="77777777" w:rsidR="00E76570" w:rsidRDefault="00D97AF7" w:rsidP="00E76570">
            <w:pPr>
              <w:cnfStyle w:val="000000100000" w:firstRow="0" w:lastRow="0" w:firstColumn="0" w:lastColumn="0" w:oddVBand="0" w:evenVBand="0" w:oddHBand="1" w:evenHBand="0" w:firstRowFirstColumn="0" w:firstRowLastColumn="0" w:lastRowFirstColumn="0" w:lastRowLastColumn="0"/>
            </w:pPr>
            <w:r>
              <w:rPr>
                <w:rFonts w:eastAsia="Calibri"/>
                <w:color w:val="000000"/>
              </w:rPr>
              <w:t>Medium Risk, at 46%</w:t>
            </w:r>
            <w:r w:rsidR="00606B6E">
              <w:rPr>
                <w:rFonts w:eastAsia="Calibri"/>
                <w:color w:val="000000"/>
              </w:rPr>
              <w:t xml:space="preserve">, </w:t>
            </w:r>
          </w:p>
          <w:p w14:paraId="0FAFC685" w14:textId="77777777" w:rsidR="00786213" w:rsidRDefault="00786213"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55FA7EB" w14:textId="77777777" w:rsidR="00E76570" w:rsidRDefault="00D97AF7" w:rsidP="00FC3565">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 xml:space="preserve">Source: Media Plurality Monitor </w:t>
            </w:r>
            <w:hyperlink r:id="rId37" w:history="1">
              <w:r>
                <w:rPr>
                  <w:rFonts w:eastAsia="Calibri"/>
                  <w:color w:val="1155CC"/>
                  <w:u w:val="single"/>
                </w:rPr>
                <w:t xml:space="preserve">(Suau et al.,2023: </w:t>
              </w:r>
            </w:hyperlink>
            <w:r>
              <w:rPr>
                <w:rFonts w:eastAsia="Calibri"/>
              </w:rPr>
              <w:t>14</w:t>
            </w:r>
            <w:r>
              <w:rPr>
                <w:rFonts w:eastAsia="Calibri"/>
                <w:color w:val="000000"/>
              </w:rPr>
              <w:t>).</w:t>
            </w:r>
          </w:p>
          <w:p w14:paraId="21B9C6C7" w14:textId="77777777" w:rsidR="00B34833" w:rsidRDefault="00B34833" w:rsidP="00FC3565">
            <w:pPr>
              <w:cnfStyle w:val="000000100000" w:firstRow="0" w:lastRow="0" w:firstColumn="0" w:lastColumn="0" w:oddVBand="0" w:evenVBand="0" w:oddHBand="1" w:evenHBand="0" w:firstRowFirstColumn="0" w:firstRowLastColumn="0" w:lastRowFirstColumn="0" w:lastRowLastColumn="0"/>
              <w:rPr>
                <w:rFonts w:eastAsia="Calibri"/>
                <w:color w:val="000000"/>
              </w:rPr>
            </w:pPr>
          </w:p>
          <w:p w14:paraId="6F0B830D" w14:textId="55F4E5A1" w:rsidR="00786213" w:rsidRPr="002A188C" w:rsidRDefault="00D97AF7" w:rsidP="002A188C">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B34833">
              <w:rPr>
                <w:rFonts w:eastAsia="Calibri" w:cs="Arial"/>
                <w:color w:val="000000"/>
              </w:rPr>
              <w:t>The audiovisual sector experienced a decline in revenue in 2023 compared to 2021, with an increasing gap between free-to-air television</w:t>
            </w:r>
            <w:r w:rsidR="005E531D">
              <w:rPr>
                <w:rFonts w:eastAsia="Calibri" w:cs="Arial"/>
                <w:color w:val="000000"/>
              </w:rPr>
              <w:t xml:space="preserve">, </w:t>
            </w:r>
            <w:r w:rsidRPr="00B34833">
              <w:rPr>
                <w:rFonts w:eastAsia="Calibri" w:cs="Arial"/>
                <w:color w:val="000000"/>
              </w:rPr>
              <w:t>which saw a 6.26% drop in income</w:t>
            </w:r>
            <w:r w:rsidR="005E531D">
              <w:rPr>
                <w:rFonts w:eastAsia="Calibri" w:cs="Arial"/>
                <w:color w:val="000000"/>
              </w:rPr>
              <w:t>,</w:t>
            </w:r>
            <w:r w:rsidRPr="00B34833">
              <w:rPr>
                <w:rFonts w:eastAsia="Calibri" w:cs="Arial"/>
                <w:color w:val="000000"/>
              </w:rPr>
              <w:t xml:space="preserve"> and subscription television (11.27% growth). Radio outlets grew in line with inflation, while newspaper revenues generally increased at a below-inflation rate. Like the audiovisual sector, there has been an increasing shift from traditional print to digital platforms, which continues the downward trend of recent years </w:t>
            </w:r>
            <w:r w:rsidRPr="00B34833">
              <w:rPr>
                <w:rFonts w:eastAsia="Calibri" w:cs="Arial"/>
                <w:color w:val="1155CC"/>
                <w:u w:val="single"/>
                <w:lang w:val="en-US"/>
              </w:rPr>
              <w:t>(Suau et al., 2023)</w:t>
            </w:r>
            <w:r w:rsidRPr="00B34833">
              <w:rPr>
                <w:rFonts w:eastAsia="Calibri" w:cs="Arial"/>
                <w:color w:val="000000"/>
              </w:rPr>
              <w:t>.</w:t>
            </w:r>
          </w:p>
        </w:tc>
      </w:tr>
      <w:tr w:rsidR="000F492D" w14:paraId="152534BC" w14:textId="77777777" w:rsidTr="33F03C2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3624566"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t>2.10</w:t>
            </w:r>
          </w:p>
        </w:tc>
        <w:tc>
          <w:tcPr>
            <w:tcW w:w="2126" w:type="dxa"/>
          </w:tcPr>
          <w:p w14:paraId="3C0D0F8E" w14:textId="77777777" w:rsidR="00786213"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102F13">
              <w:t xml:space="preserve">Advertising Market </w:t>
            </w:r>
            <w:r w:rsidRPr="00BA31D3">
              <w:rPr>
                <w:b w:val="0"/>
                <w:bCs w:val="0"/>
              </w:rPr>
              <w:t>(AM)</w:t>
            </w:r>
          </w:p>
        </w:tc>
        <w:tc>
          <w:tcPr>
            <w:tcW w:w="2127" w:type="dxa"/>
          </w:tcPr>
          <w:p w14:paraId="5C1A8896" w14:textId="77777777" w:rsidR="00786213" w:rsidRPr="00B34833" w:rsidRDefault="00D97AF7" w:rsidP="00F92CC7">
            <w:pPr>
              <w:pStyle w:val="Classificationcolumntext"/>
              <w:cnfStyle w:val="000000000000" w:firstRow="0" w:lastRow="0" w:firstColumn="0" w:lastColumn="0" w:oddVBand="0" w:evenVBand="0" w:oddHBand="0" w:evenHBand="0" w:firstRowFirstColumn="0" w:firstRowLastColumn="0" w:lastRowFirstColumn="0" w:lastRowLastColumn="0"/>
              <w:rPr>
                <w:color w:val="000000" w:themeColor="text1"/>
              </w:rPr>
            </w:pPr>
            <w:r w:rsidRPr="00B34833">
              <w:rPr>
                <w:color w:val="000000" w:themeColor="text1"/>
              </w:rPr>
              <w:t>InfoAdex (</w:t>
            </w:r>
            <w:hyperlink r:id="rId38" w:history="1">
              <w:r w:rsidRPr="00B34833">
                <w:rPr>
                  <w:rStyle w:val="Hyperlink"/>
                  <w:rFonts w:eastAsiaTheme="majorEastAsia"/>
                  <w:color w:val="000000" w:themeColor="text1"/>
                </w:rPr>
                <w:t>2024</w:t>
              </w:r>
            </w:hyperlink>
            <w:r w:rsidRPr="00B34833">
              <w:rPr>
                <w:color w:val="000000" w:themeColor="text1"/>
              </w:rPr>
              <w:t>): 12,700.8 million euros in 2023 (increase of 4%)</w:t>
            </w:r>
          </w:p>
        </w:tc>
        <w:tc>
          <w:tcPr>
            <w:tcW w:w="5670" w:type="dxa"/>
          </w:tcPr>
          <w:p w14:paraId="00F6BFB5" w14:textId="77777777" w:rsidR="00786213" w:rsidRPr="00B34833" w:rsidRDefault="00D97AF7" w:rsidP="00B34833">
            <w:pPr>
              <w:cnfStyle w:val="000000000000" w:firstRow="0" w:lastRow="0" w:firstColumn="0" w:lastColumn="0" w:oddVBand="0" w:evenVBand="0" w:oddHBand="0" w:evenHBand="0" w:firstRowFirstColumn="0" w:firstRowLastColumn="0" w:lastRowFirstColumn="0" w:lastRowLastColumn="0"/>
              <w:rPr>
                <w:rFonts w:cs="Arial"/>
              </w:rPr>
            </w:pPr>
            <w:r w:rsidRPr="00B34833">
              <w:rPr>
                <w:rFonts w:cs="Arial"/>
              </w:rPr>
              <w:t>According to InfoAdex (</w:t>
            </w:r>
            <w:hyperlink r:id="rId39" w:history="1">
              <w:r w:rsidRPr="00B34833">
                <w:rPr>
                  <w:rStyle w:val="Hyperlink"/>
                  <w:rFonts w:cs="Arial"/>
                </w:rPr>
                <w:t>2024</w:t>
              </w:r>
            </w:hyperlink>
            <w:r w:rsidRPr="00B34833">
              <w:rPr>
                <w:rFonts w:cs="Arial"/>
              </w:rPr>
              <w:t xml:space="preserve">), the estimated </w:t>
            </w:r>
            <w:r>
              <w:rPr>
                <w:rFonts w:cs="Arial"/>
              </w:rPr>
              <w:t xml:space="preserve">total size of the Spanish </w:t>
            </w:r>
            <w:r w:rsidRPr="00B34833">
              <w:rPr>
                <w:rFonts w:cs="Arial"/>
              </w:rPr>
              <w:t xml:space="preserve">advertising market was 12,700.8 million euros in 2023, </w:t>
            </w:r>
            <w:r>
              <w:rPr>
                <w:rFonts w:cs="Arial"/>
              </w:rPr>
              <w:t xml:space="preserve">representing </w:t>
            </w:r>
            <w:r w:rsidRPr="00B34833">
              <w:rPr>
                <w:rFonts w:cs="Arial"/>
              </w:rPr>
              <w:t>a growth of 4.0% over the 12,212.7 million euros reached in the previous year.</w:t>
            </w:r>
          </w:p>
        </w:tc>
      </w:tr>
      <w:tr w:rsidR="000F492D" w14:paraId="65248F91" w14:textId="77777777" w:rsidTr="33F03C2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F64C9B1" w14:textId="77777777" w:rsidR="00786213" w:rsidRPr="00203503" w:rsidRDefault="00D97AF7" w:rsidP="00F92CC7">
            <w:pPr>
              <w:spacing w:line="276" w:lineRule="auto"/>
              <w:rPr>
                <w:rFonts w:cs="Arial"/>
                <w:color w:val="747474" w:themeColor="background2" w:themeShade="80"/>
              </w:rPr>
            </w:pPr>
            <w:r>
              <w:rPr>
                <w:rFonts w:cs="Arial"/>
                <w:color w:val="747474" w:themeColor="background2" w:themeShade="80"/>
              </w:rPr>
              <w:t>2.11</w:t>
            </w:r>
          </w:p>
        </w:tc>
        <w:tc>
          <w:tcPr>
            <w:tcW w:w="2126" w:type="dxa"/>
          </w:tcPr>
          <w:p w14:paraId="689A75E2" w14:textId="77777777" w:rsidR="00786213"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102F13">
              <w:t>Digital Ad marke</w:t>
            </w:r>
            <w:r>
              <w:t>t</w:t>
            </w:r>
          </w:p>
        </w:tc>
        <w:tc>
          <w:tcPr>
            <w:tcW w:w="2127" w:type="dxa"/>
          </w:tcPr>
          <w:p w14:paraId="08A95AE3" w14:textId="77777777" w:rsidR="00786213" w:rsidRDefault="00D97AF7" w:rsidP="00F92CC7">
            <w:pPr>
              <w:pStyle w:val="Classificationcolumntext"/>
              <w:cnfStyle w:val="000000100000" w:firstRow="0" w:lastRow="0" w:firstColumn="0" w:lastColumn="0" w:oddVBand="0" w:evenVBand="0" w:oddHBand="1" w:evenHBand="0" w:firstRowFirstColumn="0" w:firstRowLastColumn="0" w:lastRowFirstColumn="0" w:lastRowLastColumn="0"/>
            </w:pPr>
            <w:r w:rsidRPr="00B34833">
              <w:rPr>
                <w:color w:val="000000" w:themeColor="text1"/>
              </w:rPr>
              <w:t>IAB Spain (</w:t>
            </w:r>
            <w:hyperlink r:id="rId40" w:history="1">
              <w:r w:rsidRPr="00B34833">
                <w:rPr>
                  <w:rStyle w:val="Hyperlink"/>
                  <w:color w:val="000000" w:themeColor="text1"/>
                </w:rPr>
                <w:t>2023</w:t>
              </w:r>
            </w:hyperlink>
            <w:r w:rsidRPr="00B34833">
              <w:rPr>
                <w:color w:val="000000" w:themeColor="text1"/>
              </w:rPr>
              <w:t>): 4.97 million euros (increase of 9.8%)</w:t>
            </w:r>
          </w:p>
        </w:tc>
        <w:tc>
          <w:tcPr>
            <w:tcW w:w="5670" w:type="dxa"/>
          </w:tcPr>
          <w:p w14:paraId="64106CA3" w14:textId="77777777" w:rsidR="00786213" w:rsidRPr="0016559B" w:rsidRDefault="00D97AF7" w:rsidP="00B34833">
            <w:pPr>
              <w:cnfStyle w:val="000000100000" w:firstRow="0" w:lastRow="0" w:firstColumn="0" w:lastColumn="0" w:oddVBand="0" w:evenVBand="0" w:oddHBand="1" w:evenHBand="0" w:firstRowFirstColumn="0" w:firstRowLastColumn="0" w:lastRowFirstColumn="0" w:lastRowLastColumn="0"/>
              <w:rPr>
                <w:rFonts w:cs="Arial"/>
              </w:rPr>
            </w:pPr>
            <w:r w:rsidRPr="00B34833">
              <w:rPr>
                <w:rFonts w:cs="Arial"/>
              </w:rPr>
              <w:t>According to IAB Spain (</w:t>
            </w:r>
            <w:hyperlink r:id="rId41" w:history="1">
              <w:r w:rsidRPr="00B34833">
                <w:rPr>
                  <w:rStyle w:val="Hyperlink"/>
                  <w:rFonts w:cs="Arial"/>
                </w:rPr>
                <w:t>2023</w:t>
              </w:r>
            </w:hyperlink>
            <w:r w:rsidRPr="00B34833">
              <w:rPr>
                <w:rFonts w:cs="Arial"/>
              </w:rPr>
              <w:t>), advertising investment in digital media in Spain in 2023 has exceeded 4.97 million euros, growing by 9.8 percent compared to 2022.</w:t>
            </w:r>
          </w:p>
        </w:tc>
      </w:tr>
      <w:tr w:rsidR="000F492D" w14:paraId="7378E285" w14:textId="77777777" w:rsidTr="33F03C2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A48C29" w14:textId="77777777" w:rsidR="007D008B" w:rsidRPr="00203503" w:rsidRDefault="00D97AF7" w:rsidP="00F92CC7">
            <w:pPr>
              <w:spacing w:line="276" w:lineRule="auto"/>
              <w:rPr>
                <w:rFonts w:cs="Arial"/>
                <w:color w:val="747474" w:themeColor="background2" w:themeShade="80"/>
              </w:rPr>
            </w:pPr>
            <w:r>
              <w:rPr>
                <w:rFonts w:cs="Arial"/>
                <w:color w:val="747474" w:themeColor="background2" w:themeShade="80"/>
              </w:rPr>
              <w:t>2.12</w:t>
            </w:r>
          </w:p>
        </w:tc>
        <w:tc>
          <w:tcPr>
            <w:tcW w:w="2126" w:type="dxa"/>
          </w:tcPr>
          <w:p w14:paraId="31A1DC9C" w14:textId="77777777" w:rsidR="007D008B" w:rsidRPr="00102F13"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102F13">
              <w:t>AM segments</w:t>
            </w:r>
          </w:p>
        </w:tc>
        <w:tc>
          <w:tcPr>
            <w:tcW w:w="2127" w:type="dxa"/>
          </w:tcPr>
          <w:p w14:paraId="29990CBD" w14:textId="77777777" w:rsidR="007D008B" w:rsidRDefault="007D008B"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8A6DBF" w14:textId="77777777" w:rsidR="00B34833" w:rsidRPr="00B34833" w:rsidRDefault="00D97AF7" w:rsidP="002A188C">
            <w:pPr>
              <w:cnfStyle w:val="000000000000" w:firstRow="0" w:lastRow="0" w:firstColumn="0" w:lastColumn="0" w:oddVBand="0" w:evenVBand="0" w:oddHBand="0" w:evenHBand="0" w:firstRowFirstColumn="0" w:firstRowLastColumn="0" w:lastRowFirstColumn="0" w:lastRowLastColumn="0"/>
              <w:rPr>
                <w:rFonts w:cs="Arial"/>
              </w:rPr>
            </w:pPr>
            <w:r>
              <w:rPr>
                <w:rFonts w:cs="Arial"/>
              </w:rPr>
              <w:t xml:space="preserve">According to </w:t>
            </w:r>
            <w:r w:rsidRPr="00B34833">
              <w:rPr>
                <w:rFonts w:cs="Arial"/>
              </w:rPr>
              <w:t>IAB Spain (</w:t>
            </w:r>
            <w:hyperlink r:id="rId42" w:history="1">
              <w:r w:rsidRPr="00B34833">
                <w:rPr>
                  <w:rStyle w:val="Hyperlink"/>
                  <w:rFonts w:cs="Arial"/>
                </w:rPr>
                <w:t>2023</w:t>
              </w:r>
            </w:hyperlink>
            <w:r w:rsidRPr="00B34833">
              <w:rPr>
                <w:rFonts w:cs="Arial"/>
              </w:rPr>
              <w:t xml:space="preserve">), </w:t>
            </w:r>
            <w:r>
              <w:rPr>
                <w:rFonts w:cs="Arial"/>
              </w:rPr>
              <w:t xml:space="preserve">the </w:t>
            </w:r>
            <w:r w:rsidRPr="00B34833">
              <w:rPr>
                <w:rFonts w:cs="Arial"/>
              </w:rPr>
              <w:t xml:space="preserve">main </w:t>
            </w:r>
            <w:r w:rsidR="002A24AF">
              <w:rPr>
                <w:rFonts w:cs="Arial"/>
              </w:rPr>
              <w:t>market share</w:t>
            </w:r>
            <w:r w:rsidRPr="00B34833">
              <w:rPr>
                <w:rFonts w:cs="Arial"/>
              </w:rPr>
              <w:t xml:space="preserve"> figures </w:t>
            </w:r>
            <w:r w:rsidR="002A24AF">
              <w:rPr>
                <w:rFonts w:cs="Arial"/>
              </w:rPr>
              <w:t xml:space="preserve">for advertising spending </w:t>
            </w:r>
            <w:r w:rsidRPr="00B34833">
              <w:rPr>
                <w:rFonts w:cs="Arial"/>
              </w:rPr>
              <w:t>by discipline are:</w:t>
            </w:r>
          </w:p>
          <w:p w14:paraId="2CA13658" w14:textId="77777777" w:rsidR="00B34833" w:rsidRPr="00B34833" w:rsidRDefault="00D97AF7" w:rsidP="002A188C">
            <w:pPr>
              <w:cnfStyle w:val="000000000000" w:firstRow="0" w:lastRow="0" w:firstColumn="0" w:lastColumn="0" w:oddVBand="0" w:evenVBand="0" w:oddHBand="0" w:evenHBand="0" w:firstRowFirstColumn="0" w:firstRowLastColumn="0" w:lastRowFirstColumn="0" w:lastRowLastColumn="0"/>
              <w:rPr>
                <w:rFonts w:cs="Arial"/>
              </w:rPr>
            </w:pPr>
            <w:r w:rsidRPr="00B34833">
              <w:rPr>
                <w:rFonts w:cs="Arial"/>
              </w:rPr>
              <w:t xml:space="preserve">Search: 1616.7 million euros (2.6% </w:t>
            </w:r>
            <w:r w:rsidR="002A24AF">
              <w:rPr>
                <w:rFonts w:cs="Arial"/>
              </w:rPr>
              <w:t xml:space="preserve">increase on </w:t>
            </w:r>
            <w:r w:rsidRPr="00B34833">
              <w:rPr>
                <w:rFonts w:cs="Arial"/>
              </w:rPr>
              <w:t>2022)</w:t>
            </w:r>
            <w:r w:rsidR="002A24AF">
              <w:rPr>
                <w:rFonts w:cs="Arial"/>
              </w:rPr>
              <w:t xml:space="preserve">; </w:t>
            </w:r>
            <w:r w:rsidRPr="00B34833">
              <w:rPr>
                <w:rFonts w:cs="Arial"/>
              </w:rPr>
              <w:t>32.5%</w:t>
            </w:r>
            <w:r w:rsidR="002A24AF">
              <w:rPr>
                <w:rFonts w:cs="Arial"/>
              </w:rPr>
              <w:t xml:space="preserve"> of total market share</w:t>
            </w:r>
            <w:r w:rsidRPr="00B34833">
              <w:rPr>
                <w:rFonts w:cs="Arial"/>
              </w:rPr>
              <w:t>.</w:t>
            </w:r>
          </w:p>
          <w:p w14:paraId="3FAE8E7B" w14:textId="77777777" w:rsidR="00B34833" w:rsidRPr="00B34833" w:rsidRDefault="00D97AF7" w:rsidP="002A188C">
            <w:pPr>
              <w:cnfStyle w:val="000000000000" w:firstRow="0" w:lastRow="0" w:firstColumn="0" w:lastColumn="0" w:oddVBand="0" w:evenVBand="0" w:oddHBand="0" w:evenHBand="0" w:firstRowFirstColumn="0" w:firstRowLastColumn="0" w:lastRowFirstColumn="0" w:lastRowLastColumn="0"/>
              <w:rPr>
                <w:rFonts w:cs="Arial"/>
              </w:rPr>
            </w:pPr>
            <w:r w:rsidRPr="00B34833">
              <w:rPr>
                <w:rFonts w:cs="Arial"/>
              </w:rPr>
              <w:t xml:space="preserve">Social Media: 1410 million euros (10.3% </w:t>
            </w:r>
            <w:r w:rsidR="002A24AF">
              <w:rPr>
                <w:rFonts w:cs="Arial"/>
              </w:rPr>
              <w:t xml:space="preserve">increase on </w:t>
            </w:r>
            <w:r w:rsidRPr="00B34833">
              <w:rPr>
                <w:rFonts w:cs="Arial"/>
              </w:rPr>
              <w:t>2022)</w:t>
            </w:r>
            <w:r w:rsidR="002A24AF">
              <w:rPr>
                <w:rFonts w:cs="Arial"/>
              </w:rPr>
              <w:t xml:space="preserve">; </w:t>
            </w:r>
            <w:r w:rsidRPr="00B34833">
              <w:rPr>
                <w:rFonts w:cs="Arial"/>
              </w:rPr>
              <w:t>28.3%</w:t>
            </w:r>
            <w:r w:rsidR="002A24AF">
              <w:rPr>
                <w:rFonts w:cs="Arial"/>
              </w:rPr>
              <w:t xml:space="preserve"> market share</w:t>
            </w:r>
            <w:r w:rsidRPr="00B34833">
              <w:rPr>
                <w:rFonts w:cs="Arial"/>
              </w:rPr>
              <w:t>.</w:t>
            </w:r>
          </w:p>
          <w:p w14:paraId="269CED96" w14:textId="3AAFA550" w:rsidR="00B34833" w:rsidRPr="00B34833" w:rsidRDefault="00D97AF7" w:rsidP="002A188C">
            <w:pPr>
              <w:cnfStyle w:val="000000000000" w:firstRow="0" w:lastRow="0" w:firstColumn="0" w:lastColumn="0" w:oddVBand="0" w:evenVBand="0" w:oddHBand="0" w:evenHBand="0" w:firstRowFirstColumn="0" w:firstRowLastColumn="0" w:lastRowFirstColumn="0" w:lastRowLastColumn="0"/>
              <w:rPr>
                <w:rFonts w:cs="Arial"/>
              </w:rPr>
            </w:pPr>
            <w:r w:rsidRPr="00B34833">
              <w:rPr>
                <w:rFonts w:cs="Arial"/>
              </w:rPr>
              <w:t xml:space="preserve">Display (without Branded Content and Social Media): 1122 million euros (11% </w:t>
            </w:r>
            <w:r w:rsidR="002A24AF">
              <w:rPr>
                <w:rFonts w:cs="Arial"/>
              </w:rPr>
              <w:t xml:space="preserve">increase on </w:t>
            </w:r>
            <w:r w:rsidRPr="00B34833">
              <w:rPr>
                <w:rFonts w:cs="Arial"/>
              </w:rPr>
              <w:t>2022)</w:t>
            </w:r>
            <w:r w:rsidR="002A24AF">
              <w:rPr>
                <w:rFonts w:cs="Arial"/>
              </w:rPr>
              <w:t>;</w:t>
            </w:r>
            <w:r w:rsidRPr="00B34833">
              <w:rPr>
                <w:rFonts w:cs="Arial"/>
              </w:rPr>
              <w:t xml:space="preserve"> 22.5% </w:t>
            </w:r>
            <w:r w:rsidR="002A24AF">
              <w:rPr>
                <w:rFonts w:cs="Arial"/>
              </w:rPr>
              <w:t>market share</w:t>
            </w:r>
          </w:p>
          <w:p w14:paraId="6D53525B" w14:textId="77777777" w:rsidR="007D008B" w:rsidRDefault="00D97AF7" w:rsidP="002A188C">
            <w:pPr>
              <w:cnfStyle w:val="000000000000" w:firstRow="0" w:lastRow="0" w:firstColumn="0" w:lastColumn="0" w:oddVBand="0" w:evenVBand="0" w:oddHBand="0" w:evenHBand="0" w:firstRowFirstColumn="0" w:firstRowLastColumn="0" w:lastRowFirstColumn="0" w:lastRowLastColumn="0"/>
              <w:rPr>
                <w:rFonts w:cs="Arial"/>
              </w:rPr>
            </w:pPr>
            <w:r w:rsidRPr="00B34833">
              <w:rPr>
                <w:rFonts w:cs="Arial"/>
              </w:rPr>
              <w:t xml:space="preserve">Branded Content: 96 million euros (19.3% </w:t>
            </w:r>
            <w:r w:rsidR="002A24AF">
              <w:rPr>
                <w:rFonts w:cs="Arial"/>
              </w:rPr>
              <w:t xml:space="preserve">increase on </w:t>
            </w:r>
            <w:r w:rsidRPr="00B34833">
              <w:rPr>
                <w:rFonts w:cs="Arial"/>
              </w:rPr>
              <w:t>2022)</w:t>
            </w:r>
            <w:r w:rsidR="002A24AF">
              <w:rPr>
                <w:rFonts w:cs="Arial"/>
              </w:rPr>
              <w:t xml:space="preserve">; </w:t>
            </w:r>
            <w:r w:rsidRPr="00B34833">
              <w:rPr>
                <w:rFonts w:cs="Arial"/>
              </w:rPr>
              <w:t>1.9% of.</w:t>
            </w:r>
          </w:p>
          <w:p w14:paraId="308B561C" w14:textId="77777777" w:rsidR="00B34833" w:rsidRDefault="00B34833" w:rsidP="002A188C">
            <w:pPr>
              <w:cnfStyle w:val="000000000000" w:firstRow="0" w:lastRow="0" w:firstColumn="0" w:lastColumn="0" w:oddVBand="0" w:evenVBand="0" w:oddHBand="0" w:evenHBand="0" w:firstRowFirstColumn="0" w:firstRowLastColumn="0" w:lastRowFirstColumn="0" w:lastRowLastColumn="0"/>
              <w:rPr>
                <w:rFonts w:cs="Arial"/>
              </w:rPr>
            </w:pPr>
          </w:p>
          <w:p w14:paraId="6C733D1F" w14:textId="2F1A3704" w:rsidR="002A24AF" w:rsidRDefault="00D97AF7" w:rsidP="002A188C">
            <w:pPr>
              <w:cnfStyle w:val="000000000000" w:firstRow="0" w:lastRow="0" w:firstColumn="0" w:lastColumn="0" w:oddVBand="0" w:evenVBand="0" w:oddHBand="0" w:evenHBand="0" w:firstRowFirstColumn="0" w:firstRowLastColumn="0" w:lastRowFirstColumn="0" w:lastRowLastColumn="0"/>
              <w:rPr>
                <w:rFonts w:cs="Arial"/>
              </w:rPr>
            </w:pPr>
            <w:r>
              <w:rPr>
                <w:rFonts w:cs="Arial"/>
              </w:rPr>
              <w:t>Amongst</w:t>
            </w:r>
            <w:r w:rsidR="00B34833" w:rsidRPr="00B34833">
              <w:rPr>
                <w:rFonts w:cs="Arial"/>
              </w:rPr>
              <w:t xml:space="preserve"> digital advertising </w:t>
            </w:r>
            <w:r>
              <w:rPr>
                <w:rFonts w:cs="Arial"/>
              </w:rPr>
              <w:t xml:space="preserve">sectors </w:t>
            </w:r>
            <w:r w:rsidR="00B34833" w:rsidRPr="00B34833">
              <w:rPr>
                <w:rFonts w:cs="Arial"/>
              </w:rPr>
              <w:t>(</w:t>
            </w:r>
            <w:hyperlink r:id="rId43" w:history="1">
              <w:r w:rsidR="00B34833" w:rsidRPr="00B34833">
                <w:rPr>
                  <w:rStyle w:val="Hyperlink"/>
                  <w:rFonts w:cs="Arial"/>
                </w:rPr>
                <w:t>IAB Spain, 2023</w:t>
              </w:r>
            </w:hyperlink>
            <w:r w:rsidR="00B34833" w:rsidRPr="00B34833">
              <w:rPr>
                <w:rFonts w:cs="Arial"/>
              </w:rPr>
              <w:t xml:space="preserve">), digital audio was the fastest growing (54% more than in 2022), followed by influencer advertising (23.9% more than in 2024), </w:t>
            </w:r>
            <w:r>
              <w:rPr>
                <w:rFonts w:cs="Arial"/>
              </w:rPr>
              <w:t>Digital Out-of-Home (</w:t>
            </w:r>
            <w:r w:rsidR="00B34833" w:rsidRPr="00B34833">
              <w:rPr>
                <w:rFonts w:cs="Arial"/>
              </w:rPr>
              <w:t>DOOH</w:t>
            </w:r>
            <w:r>
              <w:rPr>
                <w:rFonts w:cs="Arial"/>
              </w:rPr>
              <w:t>)</w:t>
            </w:r>
            <w:r w:rsidR="00B34833" w:rsidRPr="00B34833">
              <w:rPr>
                <w:rFonts w:cs="Arial"/>
              </w:rPr>
              <w:t xml:space="preserve"> (22.4% more than in 2022)</w:t>
            </w:r>
            <w:r w:rsidR="005E531D">
              <w:rPr>
                <w:rFonts w:cs="Arial"/>
              </w:rPr>
              <w:t>,</w:t>
            </w:r>
            <w:r w:rsidR="00B34833" w:rsidRPr="00B34833">
              <w:rPr>
                <w:rFonts w:cs="Arial"/>
              </w:rPr>
              <w:t xml:space="preserve"> and branded content (22.4% more than in 2022)</w:t>
            </w:r>
            <w:r>
              <w:rPr>
                <w:rFonts w:cs="Arial"/>
              </w:rPr>
              <w:t xml:space="preserve">. Branded content </w:t>
            </w:r>
            <w:r w:rsidR="00B34833" w:rsidRPr="00B34833">
              <w:rPr>
                <w:rFonts w:cs="Arial"/>
              </w:rPr>
              <w:t xml:space="preserve">still represents a very small share of </w:t>
            </w:r>
            <w:r>
              <w:rPr>
                <w:rFonts w:cs="Arial"/>
              </w:rPr>
              <w:t xml:space="preserve">total </w:t>
            </w:r>
            <w:r w:rsidR="00B34833" w:rsidRPr="00B34833">
              <w:rPr>
                <w:rFonts w:cs="Arial"/>
              </w:rPr>
              <w:t>advertising spend</w:t>
            </w:r>
            <w:r>
              <w:rPr>
                <w:rFonts w:cs="Arial"/>
              </w:rPr>
              <w:t>ing</w:t>
            </w:r>
            <w:r w:rsidR="00B34833" w:rsidRPr="00B34833">
              <w:rPr>
                <w:rFonts w:cs="Arial"/>
              </w:rPr>
              <w:t xml:space="preserve"> (1.9%). </w:t>
            </w:r>
          </w:p>
          <w:p w14:paraId="1BFCBD02" w14:textId="77777777" w:rsidR="002A24AF" w:rsidRDefault="002A24AF" w:rsidP="002A188C">
            <w:pPr>
              <w:cnfStyle w:val="000000000000" w:firstRow="0" w:lastRow="0" w:firstColumn="0" w:lastColumn="0" w:oddVBand="0" w:evenVBand="0" w:oddHBand="0" w:evenHBand="0" w:firstRowFirstColumn="0" w:firstRowLastColumn="0" w:lastRowFirstColumn="0" w:lastRowLastColumn="0"/>
              <w:rPr>
                <w:rFonts w:cs="Arial"/>
              </w:rPr>
            </w:pPr>
          </w:p>
          <w:p w14:paraId="49EBBB2F" w14:textId="1BBD7304" w:rsidR="00B34833" w:rsidRPr="0016559B" w:rsidRDefault="00D97AF7" w:rsidP="002A188C">
            <w:pPr>
              <w:cnfStyle w:val="000000000000" w:firstRow="0" w:lastRow="0" w:firstColumn="0" w:lastColumn="0" w:oddVBand="0" w:evenVBand="0" w:oddHBand="0" w:evenHBand="0" w:firstRowFirstColumn="0" w:firstRowLastColumn="0" w:lastRowFirstColumn="0" w:lastRowLastColumn="0"/>
              <w:rPr>
                <w:rFonts w:cs="Arial"/>
              </w:rPr>
            </w:pPr>
            <w:r w:rsidRPr="00B34833">
              <w:rPr>
                <w:rFonts w:cs="Arial"/>
              </w:rPr>
              <w:t xml:space="preserve">The top </w:t>
            </w:r>
            <w:r w:rsidR="002A24AF">
              <w:rPr>
                <w:rFonts w:cs="Arial"/>
              </w:rPr>
              <w:t xml:space="preserve">sectors for digital advertising spending were </w:t>
            </w:r>
            <w:r w:rsidRPr="00B34833">
              <w:rPr>
                <w:rFonts w:cs="Arial"/>
              </w:rPr>
              <w:t>search campaigns (32.5% of spend), followed by social media (22.5% of spend)</w:t>
            </w:r>
            <w:r w:rsidR="005E531D">
              <w:rPr>
                <w:rFonts w:cs="Arial"/>
              </w:rPr>
              <w:t>,</w:t>
            </w:r>
            <w:r w:rsidRPr="00B34833">
              <w:rPr>
                <w:rFonts w:cs="Arial"/>
              </w:rPr>
              <w:t xml:space="preserve"> and display </w:t>
            </w:r>
            <w:r w:rsidR="002A24AF">
              <w:rPr>
                <w:rFonts w:cs="Arial"/>
              </w:rPr>
              <w:t xml:space="preserve">advertising </w:t>
            </w:r>
            <w:r w:rsidRPr="00B34833">
              <w:rPr>
                <w:rFonts w:cs="Arial"/>
              </w:rPr>
              <w:t>(22.5% of spend).</w:t>
            </w:r>
          </w:p>
        </w:tc>
      </w:tr>
    </w:tbl>
    <w:p w14:paraId="7F971075" w14:textId="77777777" w:rsidR="00703A7B" w:rsidRPr="00703A7B" w:rsidRDefault="00D97AF7" w:rsidP="00955813">
      <w:pPr>
        <w:pStyle w:val="SectionHead"/>
        <w:rPr>
          <w:i/>
        </w:rPr>
      </w:pPr>
      <w:bookmarkStart w:id="7" w:name="_Toc170136343"/>
      <w:r w:rsidRPr="00652127">
        <w:t xml:space="preserve">Communications: </w:t>
      </w:r>
      <w:r>
        <w:t>L</w:t>
      </w:r>
      <w:r w:rsidRPr="00652127">
        <w:t xml:space="preserve">egal and </w:t>
      </w:r>
      <w:r>
        <w:t>R</w:t>
      </w:r>
      <w:r w:rsidRPr="00652127">
        <w:t xml:space="preserve">egulatory </w:t>
      </w:r>
      <w:r>
        <w:t>F</w:t>
      </w:r>
      <w:r w:rsidRPr="00652127">
        <w:t>ramework</w:t>
      </w:r>
      <w:bookmarkEnd w:id="7"/>
      <w:r w:rsidRPr="00652127">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645"/>
        <w:gridCol w:w="2332"/>
        <w:gridCol w:w="2410"/>
        <w:gridCol w:w="5387"/>
      </w:tblGrid>
      <w:tr w:rsidR="000F492D" w14:paraId="7A1B5FC9" w14:textId="77777777" w:rsidTr="6BF39E6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645" w:type="dxa"/>
            <w:tcBorders>
              <w:bottom w:val="none" w:sz="0" w:space="0" w:color="auto"/>
            </w:tcBorders>
          </w:tcPr>
          <w:p w14:paraId="615F5A5A" w14:textId="77777777" w:rsidR="00703A7B" w:rsidRPr="00424EE4" w:rsidRDefault="00D97AF7" w:rsidP="00F92CC7">
            <w:pPr>
              <w:pStyle w:val="Tableheadings"/>
            </w:pPr>
            <w:r w:rsidRPr="00424EE4">
              <w:rPr>
                <w:b/>
                <w:bCs/>
              </w:rPr>
              <w:lastRenderedPageBreak/>
              <w:t>Item</w:t>
            </w:r>
          </w:p>
        </w:tc>
        <w:tc>
          <w:tcPr>
            <w:tcW w:w="2332" w:type="dxa"/>
            <w:tcBorders>
              <w:bottom w:val="none" w:sz="0" w:space="0" w:color="auto"/>
            </w:tcBorders>
          </w:tcPr>
          <w:p w14:paraId="221A26A8" w14:textId="77777777" w:rsidR="00703A7B"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Subject</w:t>
            </w:r>
          </w:p>
        </w:tc>
        <w:tc>
          <w:tcPr>
            <w:tcW w:w="2410" w:type="dxa"/>
            <w:tcBorders>
              <w:bottom w:val="none" w:sz="0" w:space="0" w:color="auto"/>
            </w:tcBorders>
          </w:tcPr>
          <w:p w14:paraId="6049CD73" w14:textId="77777777" w:rsidR="00703A7B"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 xml:space="preserve">Classification </w:t>
            </w:r>
          </w:p>
        </w:tc>
        <w:tc>
          <w:tcPr>
            <w:tcW w:w="5387" w:type="dxa"/>
            <w:tcBorders>
              <w:bottom w:val="none" w:sz="0" w:space="0" w:color="auto"/>
            </w:tcBorders>
          </w:tcPr>
          <w:p w14:paraId="0A5BAD7E" w14:textId="77777777" w:rsidR="00703A7B"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Description</w:t>
            </w:r>
          </w:p>
        </w:tc>
      </w:tr>
      <w:tr w:rsidR="000F492D" w14:paraId="77047699" w14:textId="77777777" w:rsidTr="6BF39E6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45" w:type="dxa"/>
            <w:tcBorders>
              <w:top w:val="none" w:sz="0" w:space="0" w:color="auto"/>
              <w:bottom w:val="none" w:sz="0" w:space="0" w:color="auto"/>
            </w:tcBorders>
          </w:tcPr>
          <w:p w14:paraId="073697E3" w14:textId="77777777" w:rsidR="00703A7B" w:rsidRPr="00203503" w:rsidRDefault="00D97AF7" w:rsidP="00F92CC7">
            <w:pPr>
              <w:spacing w:line="276" w:lineRule="auto"/>
              <w:rPr>
                <w:rFonts w:cs="Arial"/>
                <w:color w:val="747474" w:themeColor="background2" w:themeShade="80"/>
              </w:rPr>
            </w:pPr>
            <w:r>
              <w:rPr>
                <w:rFonts w:cs="Arial"/>
                <w:color w:val="747474" w:themeColor="background2" w:themeShade="80"/>
              </w:rPr>
              <w:t>3.1</w:t>
            </w:r>
          </w:p>
        </w:tc>
        <w:tc>
          <w:tcPr>
            <w:tcW w:w="2332" w:type="dxa"/>
            <w:tcBorders>
              <w:top w:val="none" w:sz="0" w:space="0" w:color="auto"/>
              <w:bottom w:val="none" w:sz="0" w:space="0" w:color="auto"/>
            </w:tcBorders>
          </w:tcPr>
          <w:p w14:paraId="546D884D" w14:textId="77777777" w:rsidR="00703A7B" w:rsidRPr="000004F6"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102F13">
              <w:t>Supranational</w:t>
            </w:r>
          </w:p>
        </w:tc>
        <w:tc>
          <w:tcPr>
            <w:tcW w:w="2410" w:type="dxa"/>
            <w:tcBorders>
              <w:top w:val="none" w:sz="0" w:space="0" w:color="auto"/>
              <w:bottom w:val="none" w:sz="0" w:space="0" w:color="auto"/>
            </w:tcBorders>
          </w:tcPr>
          <w:p w14:paraId="0912CB97" w14:textId="77777777" w:rsidR="00703A7B" w:rsidRPr="00745C48" w:rsidRDefault="00703A7B"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387" w:type="dxa"/>
            <w:tcBorders>
              <w:top w:val="none" w:sz="0" w:space="0" w:color="auto"/>
              <w:bottom w:val="none" w:sz="0" w:space="0" w:color="auto"/>
            </w:tcBorders>
          </w:tcPr>
          <w:p w14:paraId="31191CA0" w14:textId="5C4693DF" w:rsidR="00703A7B" w:rsidRPr="00DF3A8B" w:rsidRDefault="00D97AF7" w:rsidP="00DF3A8B">
            <w:pPr>
              <w:cnfStyle w:val="000000100000" w:firstRow="0" w:lastRow="0" w:firstColumn="0" w:lastColumn="0" w:oddVBand="0" w:evenVBand="0" w:oddHBand="1" w:evenHBand="0" w:firstRowFirstColumn="0" w:firstRowLastColumn="0" w:lastRowFirstColumn="0" w:lastRowLastColumn="0"/>
              <w:rPr>
                <w:rStyle w:val="normaltextrun"/>
                <w:rFonts w:cs="Arial"/>
                <w:shd w:val="clear" w:color="auto" w:fill="FFFFFF"/>
              </w:rPr>
            </w:pPr>
            <w:r w:rsidRPr="00DF3A8B">
              <w:rPr>
                <w:rStyle w:val="normaltextrun"/>
                <w:rFonts w:cs="Arial"/>
                <w:color w:val="000000" w:themeColor="text1"/>
                <w:shd w:val="clear" w:color="auto" w:fill="FFFFFF"/>
              </w:rPr>
              <w:t>Spain</w:t>
            </w:r>
            <w:r w:rsidRPr="00DF3A8B">
              <w:rPr>
                <w:rStyle w:val="normaltextrun"/>
                <w:rFonts w:cs="Arial"/>
                <w:color w:val="FF0000"/>
                <w:shd w:val="clear" w:color="auto" w:fill="FFFFFF"/>
              </w:rPr>
              <w:t xml:space="preserve"> </w:t>
            </w:r>
            <w:r w:rsidRPr="00DF3A8B">
              <w:rPr>
                <w:rStyle w:val="normaltextrun"/>
                <w:rFonts w:cs="Arial"/>
                <w:color w:val="000000"/>
                <w:shd w:val="clear" w:color="auto" w:fill="FFFFFF"/>
              </w:rPr>
              <w:t xml:space="preserve">became a member of the European Union in </w:t>
            </w:r>
            <w:r w:rsidR="000A111A" w:rsidRPr="00DF3A8B">
              <w:rPr>
                <w:rStyle w:val="normaltextrun"/>
                <w:rFonts w:cs="Arial"/>
                <w:color w:val="000000"/>
                <w:shd w:val="clear" w:color="auto" w:fill="FFFFFF"/>
              </w:rPr>
              <w:t>1986</w:t>
            </w:r>
            <w:r w:rsidRPr="00DF3A8B">
              <w:rPr>
                <w:rStyle w:val="normaltextrun"/>
                <w:rFonts w:cs="Arial"/>
                <w:color w:val="000000"/>
                <w:shd w:val="clear" w:color="auto" w:fill="FFFFFF"/>
              </w:rPr>
              <w:t xml:space="preserve"> and aligns with the EU regulatory framework (</w:t>
            </w:r>
            <w:hyperlink r:id="rId44" w:tgtFrame="_blank" w:history="1">
              <w:r w:rsidRPr="00DF3A8B">
                <w:rPr>
                  <w:rStyle w:val="normaltextrun"/>
                  <w:rFonts w:cs="Arial"/>
                  <w:color w:val="0563C1"/>
                  <w:shd w:val="clear" w:color="auto" w:fill="FFFFFF"/>
                </w:rPr>
                <w:t>EU n.d.</w:t>
              </w:r>
            </w:hyperlink>
            <w:r w:rsidRPr="00DF3A8B">
              <w:rPr>
                <w:rStyle w:val="normaltextrun"/>
                <w:rFonts w:cs="Arial"/>
                <w:color w:val="000000"/>
                <w:shd w:val="clear" w:color="auto" w:fill="FFFFFF"/>
              </w:rPr>
              <w:t>). In the communications sector</w:t>
            </w:r>
            <w:r w:rsidR="002A24AF" w:rsidRPr="00DF3A8B">
              <w:rPr>
                <w:rStyle w:val="normaltextrun"/>
                <w:rFonts w:cs="Arial"/>
                <w:color w:val="000000"/>
                <w:shd w:val="clear" w:color="auto" w:fill="FFFFFF"/>
              </w:rPr>
              <w:t xml:space="preserve">, </w:t>
            </w:r>
            <w:r w:rsidR="005E531D">
              <w:rPr>
                <w:rStyle w:val="normaltextrun"/>
                <w:rFonts w:cs="Arial"/>
                <w:color w:val="000000"/>
                <w:shd w:val="clear" w:color="auto" w:fill="FFFFFF"/>
              </w:rPr>
              <w:t>k</w:t>
            </w:r>
            <w:r w:rsidRPr="00DF3A8B">
              <w:rPr>
                <w:rStyle w:val="normaltextrun"/>
                <w:rFonts w:cs="Arial"/>
                <w:shd w:val="clear" w:color="auto" w:fill="FFFFFF"/>
              </w:rPr>
              <w:t xml:space="preserve">ey EU directives </w:t>
            </w:r>
            <w:r w:rsidR="001F7EA6" w:rsidRPr="00DF3A8B">
              <w:rPr>
                <w:rStyle w:val="normaltextrun"/>
                <w:rFonts w:cs="Arial"/>
                <w:shd w:val="clear" w:color="auto" w:fill="FFFFFF"/>
              </w:rPr>
              <w:t xml:space="preserve">affecting communications </w:t>
            </w:r>
            <w:r w:rsidRPr="00DF3A8B">
              <w:rPr>
                <w:rStyle w:val="normaltextrun"/>
                <w:rFonts w:cs="Arial"/>
                <w:shd w:val="clear" w:color="auto" w:fill="FFFFFF"/>
              </w:rPr>
              <w:t>were either transposed or became directly enforceable</w:t>
            </w:r>
            <w:r w:rsidR="00955A25" w:rsidRPr="00DF3A8B">
              <w:rPr>
                <w:rStyle w:val="normaltextrun"/>
                <w:rFonts w:cs="Arial"/>
                <w:shd w:val="clear" w:color="auto" w:fill="FFFFFF"/>
              </w:rPr>
              <w:t xml:space="preserve"> as described below. </w:t>
            </w:r>
          </w:p>
          <w:p w14:paraId="2B6BE584" w14:textId="77777777" w:rsidR="00955A25" w:rsidRPr="00DF3A8B" w:rsidRDefault="00955A25" w:rsidP="00DF3A8B">
            <w:pPr>
              <w:cnfStyle w:val="000000100000" w:firstRow="0" w:lastRow="0" w:firstColumn="0" w:lastColumn="0" w:oddVBand="0" w:evenVBand="0" w:oddHBand="1" w:evenHBand="0" w:firstRowFirstColumn="0" w:firstRowLastColumn="0" w:lastRowFirstColumn="0" w:lastRowLastColumn="0"/>
              <w:rPr>
                <w:rFonts w:cs="Arial"/>
              </w:rPr>
            </w:pPr>
          </w:p>
          <w:p w14:paraId="6550C60D" w14:textId="77777777" w:rsidR="00DF3A8B" w:rsidRPr="00DF3A8B" w:rsidRDefault="00D97AF7" w:rsidP="00DF3A8B">
            <w:pPr>
              <w:cnfStyle w:val="000000100000" w:firstRow="0" w:lastRow="0" w:firstColumn="0" w:lastColumn="0" w:oddVBand="0" w:evenVBand="0" w:oddHBand="1" w:evenHBand="0" w:firstRowFirstColumn="0" w:firstRowLastColumn="0" w:lastRowFirstColumn="0" w:lastRowLastColumn="0"/>
              <w:rPr>
                <w:rStyle w:val="Hyperlink"/>
                <w:rFonts w:cs="Arial"/>
              </w:rPr>
            </w:pPr>
            <w:r w:rsidRPr="00DF3A8B">
              <w:rPr>
                <w:rFonts w:cs="Arial"/>
              </w:rPr>
              <w:t>Directive (EU) 2018/1808 of the European Parliament and of the Council of 14 November 2018 amending Directive 2010/13/EU on the coordination of certain provisions laid down by law, regulation or administrative action in Member States concerning the provision of audiovisual media services (Audiovisual Media Services Directive) in view of changing market (</w:t>
            </w:r>
            <w:hyperlink r:id="rId45" w:history="1">
              <w:r w:rsidRPr="00DF3A8B">
                <w:rPr>
                  <w:rStyle w:val="Hyperlink"/>
                  <w:rFonts w:cs="Arial"/>
                </w:rPr>
                <w:t>Eur-Lex, 2018)</w:t>
              </w:r>
            </w:hyperlink>
            <w:r w:rsidRPr="00DF3A8B">
              <w:rPr>
                <w:rStyle w:val="Hyperlink"/>
                <w:rFonts w:cs="Arial"/>
              </w:rPr>
              <w:t xml:space="preserve">. </w:t>
            </w:r>
          </w:p>
          <w:p w14:paraId="66CADD67" w14:textId="77777777" w:rsidR="00DF3A8B" w:rsidRPr="00DF3A8B" w:rsidRDefault="00DF3A8B" w:rsidP="00DF3A8B">
            <w:pPr>
              <w:cnfStyle w:val="000000100000" w:firstRow="0" w:lastRow="0" w:firstColumn="0" w:lastColumn="0" w:oddVBand="0" w:evenVBand="0" w:oddHBand="1" w:evenHBand="0" w:firstRowFirstColumn="0" w:firstRowLastColumn="0" w:lastRowFirstColumn="0" w:lastRowLastColumn="0"/>
              <w:rPr>
                <w:rStyle w:val="Hyperlink"/>
                <w:rFonts w:cs="Arial"/>
              </w:rPr>
            </w:pPr>
          </w:p>
          <w:p w14:paraId="0F9C9BDA" w14:textId="77777777" w:rsidR="00955A25" w:rsidRPr="00DF3A8B" w:rsidRDefault="00D97AF7" w:rsidP="00DF3A8B">
            <w:pPr>
              <w:cnfStyle w:val="000000100000" w:firstRow="0" w:lastRow="0" w:firstColumn="0" w:lastColumn="0" w:oddVBand="0" w:evenVBand="0" w:oddHBand="1" w:evenHBand="0" w:firstRowFirstColumn="0" w:firstRowLastColumn="0" w:lastRowFirstColumn="0" w:lastRowLastColumn="0"/>
              <w:rPr>
                <w:rFonts w:cs="Arial"/>
              </w:rPr>
            </w:pPr>
            <w:r w:rsidRPr="00DF3A8B">
              <w:rPr>
                <w:rFonts w:eastAsia="Calibri" w:cs="Arial"/>
                <w:color w:val="000000" w:themeColor="text1"/>
              </w:rPr>
              <w:t xml:space="preserve">The revised </w:t>
            </w:r>
            <w:r w:rsidR="00A231E0" w:rsidRPr="00DF3A8B">
              <w:rPr>
                <w:rFonts w:eastAsia="Calibri" w:cs="Arial"/>
                <w:color w:val="000000" w:themeColor="text1"/>
              </w:rPr>
              <w:t xml:space="preserve">2018 </w:t>
            </w:r>
            <w:r w:rsidR="002B4ED3" w:rsidRPr="00DF3A8B">
              <w:rPr>
                <w:rFonts w:eastAsia="Calibri" w:cs="Arial"/>
                <w:color w:val="000000" w:themeColor="text1"/>
              </w:rPr>
              <w:t xml:space="preserve">EU </w:t>
            </w:r>
            <w:r w:rsidRPr="00DF3A8B">
              <w:rPr>
                <w:rFonts w:eastAsia="Calibri" w:cs="Arial"/>
                <w:color w:val="000000" w:themeColor="text1"/>
              </w:rPr>
              <w:t xml:space="preserve">Audiovisual Media Services Directive </w:t>
            </w:r>
            <w:r w:rsidR="00A231E0" w:rsidRPr="00DF3A8B">
              <w:rPr>
                <w:rFonts w:eastAsia="Calibri" w:cs="Arial"/>
                <w:color w:val="000000" w:themeColor="text1"/>
              </w:rPr>
              <w:t xml:space="preserve">was </w:t>
            </w:r>
            <w:r w:rsidRPr="00DF3A8B">
              <w:rPr>
                <w:rFonts w:eastAsia="Calibri" w:cs="Arial"/>
                <w:color w:val="000000" w:themeColor="text1"/>
              </w:rPr>
              <w:t xml:space="preserve">transposed into national law </w:t>
            </w:r>
            <w:r w:rsidR="00A231E0" w:rsidRPr="00DF3A8B">
              <w:rPr>
                <w:rFonts w:eastAsia="Calibri" w:cs="Arial"/>
                <w:color w:val="000000" w:themeColor="text1"/>
              </w:rPr>
              <w:t xml:space="preserve">in 2022 </w:t>
            </w:r>
            <w:r w:rsidRPr="00DF3A8B">
              <w:rPr>
                <w:rFonts w:eastAsia="Calibri" w:cs="Arial"/>
                <w:color w:val="000000" w:themeColor="text1"/>
              </w:rPr>
              <w:t>(Proyecto de Ley General de Comunicación Audiovisual</w:t>
            </w:r>
            <w:r w:rsidR="00572836" w:rsidRPr="00DF3A8B">
              <w:rPr>
                <w:rFonts w:eastAsia="Calibri" w:cs="Arial"/>
                <w:color w:val="000000" w:themeColor="text1"/>
              </w:rPr>
              <w:t xml:space="preserve"> (LGCA)</w:t>
            </w:r>
            <w:r w:rsidR="002B4ED3" w:rsidRPr="00DF3A8B">
              <w:rPr>
                <w:rFonts w:eastAsia="Calibri" w:cs="Arial"/>
                <w:color w:val="000000" w:themeColor="text1"/>
              </w:rPr>
              <w:t>.</w:t>
            </w:r>
          </w:p>
          <w:p w14:paraId="0613AF19" w14:textId="77777777" w:rsidR="002A24AF" w:rsidRPr="00DF3A8B" w:rsidRDefault="002A24AF" w:rsidP="00DF3A8B">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p>
          <w:p w14:paraId="3C310EB3" w14:textId="77777777" w:rsidR="002A24AF" w:rsidRPr="00DF3A8B" w:rsidRDefault="00D97AF7" w:rsidP="00DF3A8B">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DF3A8B">
              <w:rPr>
                <w:rFonts w:eastAsia="Calibri" w:cs="Arial"/>
                <w:color w:val="000000" w:themeColor="text1"/>
              </w:rPr>
              <w:t>Other relevant EU legislation</w:t>
            </w:r>
            <w:r w:rsidR="002A188C">
              <w:rPr>
                <w:rFonts w:eastAsia="Calibri" w:cs="Arial"/>
                <w:color w:val="000000" w:themeColor="text1"/>
              </w:rPr>
              <w:t>:</w:t>
            </w:r>
          </w:p>
          <w:p w14:paraId="410DC0D8" w14:textId="77777777" w:rsidR="002A24AF" w:rsidRPr="00DF3A8B" w:rsidRDefault="002A24AF" w:rsidP="00DF3A8B">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p>
          <w:p w14:paraId="47ABF3D0" w14:textId="7F65CBCB" w:rsidR="002A24AF" w:rsidRPr="00DF3A8B" w:rsidRDefault="00D97AF7" w:rsidP="00DF3A8B">
            <w:pPr>
              <w:jc w:val="both"/>
              <w:cnfStyle w:val="000000100000" w:firstRow="0" w:lastRow="0" w:firstColumn="0" w:lastColumn="0" w:oddVBand="0" w:evenVBand="0" w:oddHBand="1" w:evenHBand="0" w:firstRowFirstColumn="0" w:firstRowLastColumn="0" w:lastRowFirstColumn="0" w:lastRowLastColumn="0"/>
              <w:rPr>
                <w:rFonts w:cs="Arial"/>
                <w:iCs/>
              </w:rPr>
            </w:pPr>
            <w:r w:rsidRPr="00DF3A8B">
              <w:rPr>
                <w:rFonts w:cs="Arial"/>
                <w:iCs/>
              </w:rPr>
              <w:t>Regulation (EU) 2022/868 of the European Parliament and of the Council of 30 May 2022 on European data governance and amending Regulation (EU) 2018/1724 (Data Governance Act) (Text with EEA relevance) (</w:t>
            </w:r>
            <w:hyperlink r:id="rId46" w:history="1">
              <w:r w:rsidRPr="00DF3A8B">
                <w:rPr>
                  <w:rStyle w:val="Hyperlink"/>
                  <w:rFonts w:cs="Arial"/>
                  <w:iCs/>
                </w:rPr>
                <w:t>Eur-Lex, 2022a</w:t>
              </w:r>
            </w:hyperlink>
            <w:r w:rsidRPr="00DF3A8B">
              <w:rPr>
                <w:rFonts w:cs="Arial"/>
                <w:iCs/>
              </w:rPr>
              <w:t>).</w:t>
            </w:r>
          </w:p>
          <w:p w14:paraId="2AB54822" w14:textId="77777777" w:rsidR="002A24AF" w:rsidRPr="00DF3A8B" w:rsidRDefault="002A24AF" w:rsidP="00DF3A8B">
            <w:pPr>
              <w:jc w:val="both"/>
              <w:cnfStyle w:val="000000100000" w:firstRow="0" w:lastRow="0" w:firstColumn="0" w:lastColumn="0" w:oddVBand="0" w:evenVBand="0" w:oddHBand="1" w:evenHBand="0" w:firstRowFirstColumn="0" w:firstRowLastColumn="0" w:lastRowFirstColumn="0" w:lastRowLastColumn="0"/>
              <w:rPr>
                <w:rFonts w:cs="Arial"/>
                <w:iCs/>
              </w:rPr>
            </w:pPr>
          </w:p>
          <w:p w14:paraId="079D0477" w14:textId="77777777" w:rsidR="002A24AF" w:rsidRPr="00DF3A8B" w:rsidRDefault="00D97AF7" w:rsidP="00DF3A8B">
            <w:pPr>
              <w:jc w:val="both"/>
              <w:cnfStyle w:val="000000100000" w:firstRow="0" w:lastRow="0" w:firstColumn="0" w:lastColumn="0" w:oddVBand="0" w:evenVBand="0" w:oddHBand="1" w:evenHBand="0" w:firstRowFirstColumn="0" w:firstRowLastColumn="0" w:lastRowFirstColumn="0" w:lastRowLastColumn="0"/>
              <w:rPr>
                <w:rStyle w:val="Hyperlink"/>
                <w:rFonts w:cs="Arial"/>
                <w:iCs/>
              </w:rPr>
            </w:pPr>
            <w:r w:rsidRPr="00DF3A8B">
              <w:rPr>
                <w:rFonts w:cs="Arial"/>
                <w:iCs/>
              </w:rPr>
              <w:t xml:space="preserve">Regulation (EU) 2022/2065 of the European Parliament and of the Council of 19 October 2022 on a Single Market For Digital Services and amending Directive 2000/31/EC (Digital Services Act) (Text with EEA relevance) </w:t>
            </w:r>
            <w:hyperlink r:id="rId47" w:history="1">
              <w:r w:rsidRPr="00DF3A8B">
                <w:rPr>
                  <w:rStyle w:val="Hyperlink"/>
                  <w:rFonts w:cs="Arial"/>
                  <w:iCs/>
                </w:rPr>
                <w:t>(Eur-Lex, 2022b)</w:t>
              </w:r>
            </w:hyperlink>
            <w:r w:rsidRPr="00DF3A8B">
              <w:rPr>
                <w:rStyle w:val="Hyperlink"/>
                <w:rFonts w:cs="Arial"/>
                <w:iCs/>
              </w:rPr>
              <w:t>.</w:t>
            </w:r>
          </w:p>
          <w:p w14:paraId="2DC100FB" w14:textId="77777777" w:rsidR="002A24AF" w:rsidRPr="00DF3A8B" w:rsidRDefault="002A24AF" w:rsidP="00DF3A8B">
            <w:pPr>
              <w:jc w:val="both"/>
              <w:cnfStyle w:val="000000100000" w:firstRow="0" w:lastRow="0" w:firstColumn="0" w:lastColumn="0" w:oddVBand="0" w:evenVBand="0" w:oddHBand="1" w:evenHBand="0" w:firstRowFirstColumn="0" w:firstRowLastColumn="0" w:lastRowFirstColumn="0" w:lastRowLastColumn="0"/>
              <w:rPr>
                <w:rFonts w:cs="Arial"/>
                <w:iCs/>
              </w:rPr>
            </w:pPr>
          </w:p>
          <w:p w14:paraId="604F560D" w14:textId="77777777" w:rsidR="00DF3A8B" w:rsidRPr="00DF3A8B" w:rsidRDefault="00D97AF7" w:rsidP="00DF3A8B">
            <w:pPr>
              <w:cnfStyle w:val="000000100000" w:firstRow="0" w:lastRow="0" w:firstColumn="0" w:lastColumn="0" w:oddVBand="0" w:evenVBand="0" w:oddHBand="1" w:evenHBand="0" w:firstRowFirstColumn="0" w:firstRowLastColumn="0" w:lastRowFirstColumn="0" w:lastRowLastColumn="0"/>
              <w:rPr>
                <w:rFonts w:cs="Arial"/>
                <w:iCs/>
              </w:rPr>
            </w:pPr>
            <w:r w:rsidRPr="00DF3A8B">
              <w:rPr>
                <w:rFonts w:cs="Arial"/>
                <w:iCs/>
              </w:rPr>
              <w:t>Regulation (EU) 2022/1925 of the European Parliament and of the Council of 14 September 2022 on contestable and fair markets in the digital sector and amending Directives (EU) 2019/1937 and (EU) 2020/1828 (Digital Markets Act) (Text with EEA relevance) (</w:t>
            </w:r>
            <w:hyperlink r:id="rId48" w:history="1">
              <w:r w:rsidRPr="00DF3A8B">
                <w:rPr>
                  <w:rStyle w:val="Hyperlink"/>
                  <w:rFonts w:cs="Arial"/>
                  <w:iCs/>
                </w:rPr>
                <w:t>Eur-Lex, 2022c</w:t>
              </w:r>
            </w:hyperlink>
            <w:r w:rsidRPr="00DF3A8B">
              <w:rPr>
                <w:rFonts w:cs="Arial"/>
                <w:iCs/>
              </w:rPr>
              <w:t>)</w:t>
            </w:r>
          </w:p>
          <w:p w14:paraId="5EA52BC1" w14:textId="77777777" w:rsidR="00DF3A8B" w:rsidRPr="00DF3A8B" w:rsidRDefault="00DF3A8B" w:rsidP="00DF3A8B">
            <w:pPr>
              <w:jc w:val="both"/>
              <w:cnfStyle w:val="000000100000" w:firstRow="0" w:lastRow="0" w:firstColumn="0" w:lastColumn="0" w:oddVBand="0" w:evenVBand="0" w:oddHBand="1" w:evenHBand="0" w:firstRowFirstColumn="0" w:firstRowLastColumn="0" w:lastRowFirstColumn="0" w:lastRowLastColumn="0"/>
              <w:rPr>
                <w:rFonts w:cs="Arial"/>
                <w:iCs/>
              </w:rPr>
            </w:pPr>
          </w:p>
          <w:p w14:paraId="4965BA3D" w14:textId="77777777" w:rsidR="00DF3A8B" w:rsidRPr="00DF3A8B" w:rsidRDefault="00D97AF7" w:rsidP="00DF3A8B">
            <w:pPr>
              <w:jc w:val="both"/>
              <w:cnfStyle w:val="000000100000" w:firstRow="0" w:lastRow="0" w:firstColumn="0" w:lastColumn="0" w:oddVBand="0" w:evenVBand="0" w:oddHBand="1" w:evenHBand="0" w:firstRowFirstColumn="0" w:firstRowLastColumn="0" w:lastRowFirstColumn="0" w:lastRowLastColumn="0"/>
              <w:rPr>
                <w:rFonts w:cs="Arial"/>
              </w:rPr>
            </w:pPr>
            <w:r w:rsidRPr="00DF3A8B">
              <w:rPr>
                <w:rFonts w:cs="Arial"/>
              </w:rPr>
              <w:t>Directive 2006/114/EC of the European Parliament and of the Council of 12 December 2006 concerning misleading and comparative advertising (codified version) (Text with EEA relevance) (</w:t>
            </w:r>
            <w:hyperlink r:id="rId49" w:history="1">
              <w:r w:rsidRPr="00DF3A8B">
                <w:rPr>
                  <w:rStyle w:val="Hyperlink"/>
                  <w:rFonts w:cs="Arial"/>
                </w:rPr>
                <w:t>Eur-Lex, 2006</w:t>
              </w:r>
            </w:hyperlink>
            <w:r w:rsidRPr="00DF3A8B">
              <w:rPr>
                <w:rFonts w:cs="Arial"/>
              </w:rPr>
              <w:t>)</w:t>
            </w:r>
          </w:p>
          <w:p w14:paraId="5EA69A38" w14:textId="77777777" w:rsidR="00DF3A8B" w:rsidRPr="00DF3A8B" w:rsidRDefault="00DF3A8B" w:rsidP="00DF3A8B">
            <w:pPr>
              <w:jc w:val="both"/>
              <w:cnfStyle w:val="000000100000" w:firstRow="0" w:lastRow="0" w:firstColumn="0" w:lastColumn="0" w:oddVBand="0" w:evenVBand="0" w:oddHBand="1" w:evenHBand="0" w:firstRowFirstColumn="0" w:firstRowLastColumn="0" w:lastRowFirstColumn="0" w:lastRowLastColumn="0"/>
              <w:rPr>
                <w:rFonts w:cs="Arial"/>
              </w:rPr>
            </w:pPr>
          </w:p>
          <w:p w14:paraId="3877520D" w14:textId="77777777" w:rsidR="00DF3A8B" w:rsidRPr="00DF3A8B" w:rsidRDefault="00D97AF7" w:rsidP="00DF3A8B">
            <w:pPr>
              <w:jc w:val="both"/>
              <w:cnfStyle w:val="000000100000" w:firstRow="0" w:lastRow="0" w:firstColumn="0" w:lastColumn="0" w:oddVBand="0" w:evenVBand="0" w:oddHBand="1" w:evenHBand="0" w:firstRowFirstColumn="0" w:firstRowLastColumn="0" w:lastRowFirstColumn="0" w:lastRowLastColumn="0"/>
              <w:rPr>
                <w:rFonts w:cs="Arial"/>
              </w:rPr>
            </w:pPr>
            <w:r w:rsidRPr="00DF3A8B">
              <w:rPr>
                <w:rFonts w:cs="Arial"/>
              </w:rPr>
              <w:t xml:space="preserve">Directive 2002/58/EC of the European Parliament and of the Council of 12 July 2002 concerning the processing of personal data and the protection of privacy in the electronic communications sector (Directive on privacy and electronic communications) </w:t>
            </w:r>
            <w:r w:rsidRPr="00DF3A8B">
              <w:rPr>
                <w:rStyle w:val="Hyperlink"/>
                <w:rFonts w:cs="Arial"/>
              </w:rPr>
              <w:t>(</w:t>
            </w:r>
            <w:hyperlink r:id="rId50" w:history="1">
              <w:r w:rsidRPr="00DF3A8B">
                <w:rPr>
                  <w:rStyle w:val="Hyperlink"/>
                  <w:rFonts w:cs="Arial"/>
                </w:rPr>
                <w:t>Eur-Lex, 2002a</w:t>
              </w:r>
            </w:hyperlink>
            <w:r w:rsidRPr="00DF3A8B">
              <w:rPr>
                <w:rStyle w:val="Hyperlink"/>
                <w:rFonts w:cs="Arial"/>
              </w:rPr>
              <w:t>)</w:t>
            </w:r>
          </w:p>
          <w:p w14:paraId="5493924A" w14:textId="77777777" w:rsidR="00DF3A8B" w:rsidRPr="00DF3A8B" w:rsidRDefault="00DF3A8B" w:rsidP="00DF3A8B">
            <w:pPr>
              <w:jc w:val="both"/>
              <w:cnfStyle w:val="000000100000" w:firstRow="0" w:lastRow="0" w:firstColumn="0" w:lastColumn="0" w:oddVBand="0" w:evenVBand="0" w:oddHBand="1" w:evenHBand="0" w:firstRowFirstColumn="0" w:firstRowLastColumn="0" w:lastRowFirstColumn="0" w:lastRowLastColumn="0"/>
              <w:rPr>
                <w:rFonts w:cs="Arial"/>
                <w:iCs/>
              </w:rPr>
            </w:pPr>
          </w:p>
          <w:p w14:paraId="3C600B5B" w14:textId="77777777" w:rsidR="00DF3A8B" w:rsidRPr="00DF3A8B" w:rsidRDefault="00D97AF7" w:rsidP="00DF3A8B">
            <w:pPr>
              <w:jc w:val="both"/>
              <w:cnfStyle w:val="000000100000" w:firstRow="0" w:lastRow="0" w:firstColumn="0" w:lastColumn="0" w:oddVBand="0" w:evenVBand="0" w:oddHBand="1" w:evenHBand="0" w:firstRowFirstColumn="0" w:firstRowLastColumn="0" w:lastRowFirstColumn="0" w:lastRowLastColumn="0"/>
              <w:rPr>
                <w:rFonts w:cs="Arial"/>
              </w:rPr>
            </w:pPr>
            <w:r w:rsidRPr="00DF3A8B">
              <w:rPr>
                <w:rFonts w:cs="Arial"/>
              </w:rPr>
              <w:lastRenderedPageBreak/>
              <w:t xml:space="preserve">Directive 2001/29/EC of the European Parliament and of the Council of 22 May 2001 on the harmonisation of certain aspects of copyright and related rights in the information society </w:t>
            </w:r>
            <w:r w:rsidRPr="00DF3A8B">
              <w:rPr>
                <w:rStyle w:val="Hyperlink"/>
                <w:rFonts w:cs="Arial"/>
              </w:rPr>
              <w:t>(</w:t>
            </w:r>
            <w:hyperlink r:id="rId51" w:history="1">
              <w:r w:rsidRPr="00DF3A8B">
                <w:rPr>
                  <w:rStyle w:val="Hyperlink"/>
                  <w:rFonts w:cs="Arial"/>
                </w:rPr>
                <w:t>Eur-Lex, 2001b</w:t>
              </w:r>
            </w:hyperlink>
            <w:r w:rsidRPr="00DF3A8B">
              <w:rPr>
                <w:rStyle w:val="Hyperlink"/>
                <w:rFonts w:cs="Arial"/>
              </w:rPr>
              <w:t>)</w:t>
            </w:r>
          </w:p>
          <w:p w14:paraId="69C2F380" w14:textId="7ED08705" w:rsidR="00650A87" w:rsidRPr="00DF3A8B" w:rsidRDefault="00650A87" w:rsidP="00DF3A8B">
            <w:pPr>
              <w:cnfStyle w:val="000000100000" w:firstRow="0" w:lastRow="0" w:firstColumn="0" w:lastColumn="0" w:oddVBand="0" w:evenVBand="0" w:oddHBand="1" w:evenHBand="0" w:firstRowFirstColumn="0" w:firstRowLastColumn="0" w:lastRowFirstColumn="0" w:lastRowLastColumn="0"/>
              <w:rPr>
                <w:rFonts w:cs="Arial"/>
              </w:rPr>
            </w:pPr>
          </w:p>
        </w:tc>
      </w:tr>
      <w:tr w:rsidR="000F492D" w:rsidRPr="007E02F3" w14:paraId="46D8816E" w14:textId="77777777" w:rsidTr="6BF39E6C">
        <w:trPr>
          <w:trHeight w:val="170"/>
        </w:trPr>
        <w:tc>
          <w:tcPr>
            <w:cnfStyle w:val="001000000000" w:firstRow="0" w:lastRow="0" w:firstColumn="1" w:lastColumn="0" w:oddVBand="0" w:evenVBand="0" w:oddHBand="0" w:evenHBand="0" w:firstRowFirstColumn="0" w:firstRowLastColumn="0" w:lastRowFirstColumn="0" w:lastRowLastColumn="0"/>
            <w:tcW w:w="645" w:type="dxa"/>
          </w:tcPr>
          <w:p w14:paraId="0146CA84" w14:textId="77777777" w:rsidR="00703A7B" w:rsidRPr="00203503" w:rsidRDefault="00D97AF7" w:rsidP="00F92CC7">
            <w:pPr>
              <w:spacing w:line="276" w:lineRule="auto"/>
              <w:rPr>
                <w:rFonts w:cs="Arial"/>
                <w:color w:val="3A3A3A" w:themeColor="background2" w:themeShade="40"/>
              </w:rPr>
            </w:pPr>
            <w:r>
              <w:rPr>
                <w:rFonts w:cs="Arial"/>
                <w:color w:val="747474" w:themeColor="background2" w:themeShade="80"/>
              </w:rPr>
              <w:lastRenderedPageBreak/>
              <w:t>3.2</w:t>
            </w:r>
          </w:p>
        </w:tc>
        <w:tc>
          <w:tcPr>
            <w:tcW w:w="2332" w:type="dxa"/>
          </w:tcPr>
          <w:p w14:paraId="13D3D20B" w14:textId="77777777" w:rsidR="00703A7B"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D716EB">
              <w:rPr>
                <w:color w:val="auto"/>
              </w:rPr>
              <w:t>Major legislation</w:t>
            </w:r>
          </w:p>
        </w:tc>
        <w:tc>
          <w:tcPr>
            <w:tcW w:w="2410" w:type="dxa"/>
          </w:tcPr>
          <w:p w14:paraId="402DAA4B" w14:textId="77777777" w:rsidR="00703A7B" w:rsidRDefault="00703A7B"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387" w:type="dxa"/>
          </w:tcPr>
          <w:p w14:paraId="05ED202C" w14:textId="2CA4F1FB" w:rsidR="003E505E" w:rsidRDefault="003E505E" w:rsidP="00C5305B">
            <w:pPr>
              <w:cnfStyle w:val="000000000000" w:firstRow="0" w:lastRow="0" w:firstColumn="0" w:lastColumn="0" w:oddVBand="0" w:evenVBand="0" w:oddHBand="0" w:evenHBand="0" w:firstRowFirstColumn="0" w:firstRowLastColumn="0" w:lastRowFirstColumn="0" w:lastRowLastColumn="0"/>
              <w:rPr>
                <w:rFonts w:cs="Arial"/>
              </w:rPr>
            </w:pPr>
            <w:r w:rsidRPr="003E505E">
              <w:rPr>
                <w:rFonts w:cs="Arial"/>
              </w:rPr>
              <w:t>In 2022, the audiovisual communication standard was modified to adapt it to new European legislation and the General Audiovisual Communication Law 13/2022 (</w:t>
            </w:r>
            <w:hyperlink r:id="rId52" w:history="1">
              <w:r w:rsidRPr="003E505E">
                <w:rPr>
                  <w:rStyle w:val="Hyperlink"/>
                  <w:rFonts w:cs="Arial"/>
                </w:rPr>
                <w:t>BOE, 2022a</w:t>
              </w:r>
            </w:hyperlink>
            <w:r w:rsidRPr="003E505E">
              <w:rPr>
                <w:rFonts w:cs="Arial"/>
              </w:rPr>
              <w:t xml:space="preserve">.) was approved. This new law has two main objectives: to regulate audiovisual communication at the state level and </w:t>
            </w:r>
            <w:r w:rsidR="005E531D">
              <w:rPr>
                <w:rFonts w:cs="Arial"/>
              </w:rPr>
              <w:t>t</w:t>
            </w:r>
            <w:r w:rsidR="005E531D">
              <w:t xml:space="preserve">o </w:t>
            </w:r>
            <w:r w:rsidRPr="003E505E">
              <w:rPr>
                <w:rFonts w:cs="Arial"/>
              </w:rPr>
              <w:t>establish specific standards for the provision of video exchange services through streaming platforms</w:t>
            </w:r>
            <w:r w:rsidR="005E531D">
              <w:rPr>
                <w:rFonts w:cs="Arial"/>
              </w:rPr>
              <w:t xml:space="preserve">. It </w:t>
            </w:r>
            <w:r w:rsidRPr="003E505E">
              <w:rPr>
                <w:rFonts w:cs="Arial"/>
              </w:rPr>
              <w:t>also establishes the regulatory framework for the provision of audiovisual communication services at the regional and local level.</w:t>
            </w:r>
          </w:p>
          <w:p w14:paraId="74621C1C" w14:textId="77777777" w:rsidR="00703A7B" w:rsidRPr="00C5305B" w:rsidRDefault="00703A7B" w:rsidP="00C5305B">
            <w:pPr>
              <w:cnfStyle w:val="000000000000" w:firstRow="0" w:lastRow="0" w:firstColumn="0" w:lastColumn="0" w:oddVBand="0" w:evenVBand="0" w:oddHBand="0" w:evenHBand="0" w:firstRowFirstColumn="0" w:firstRowLastColumn="0" w:lastRowFirstColumn="0" w:lastRowLastColumn="0"/>
              <w:rPr>
                <w:rFonts w:cs="Arial"/>
              </w:rPr>
            </w:pPr>
          </w:p>
          <w:p w14:paraId="185B1BB3" w14:textId="4701F3A8" w:rsidR="00A975A5" w:rsidRDefault="00D97AF7" w:rsidP="00C5305B">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rPr>
            </w:pPr>
            <w:r w:rsidRPr="00A231E0">
              <w:rPr>
                <w:rFonts w:eastAsia="Calibri" w:cs="Arial"/>
                <w:color w:val="000000" w:themeColor="text1"/>
              </w:rPr>
              <w:t>T</w:t>
            </w:r>
            <w:r w:rsidR="00154BCE" w:rsidRPr="00A231E0">
              <w:rPr>
                <w:rFonts w:eastAsia="Calibri" w:cs="Arial"/>
                <w:color w:val="000000" w:themeColor="text1"/>
              </w:rPr>
              <w:t>he so-called 'Iceta Law' (</w:t>
            </w:r>
            <w:hyperlink r:id="rId53" w:history="1">
              <w:r w:rsidR="00154BCE" w:rsidRPr="00A231E0">
                <w:rPr>
                  <w:rFonts w:eastAsia="Calibri" w:cs="Arial"/>
                  <w:color w:val="1155CC"/>
                  <w:u w:val="single"/>
                </w:rPr>
                <w:t>Pérez, 2021</w:t>
              </w:r>
            </w:hyperlink>
            <w:r w:rsidR="00154BCE" w:rsidRPr="00A231E0">
              <w:rPr>
                <w:rFonts w:eastAsia="Calibri" w:cs="Arial"/>
                <w:color w:val="000000" w:themeColor="text1"/>
              </w:rPr>
              <w:t>)</w:t>
            </w:r>
            <w:r w:rsidRPr="00A231E0">
              <w:rPr>
                <w:rFonts w:eastAsia="Calibri" w:cs="Arial"/>
                <w:color w:val="000000" w:themeColor="text1"/>
              </w:rPr>
              <w:t xml:space="preserve">, </w:t>
            </w:r>
            <w:r w:rsidR="00154BCE" w:rsidRPr="00A231E0">
              <w:rPr>
                <w:rFonts w:eastAsia="Calibri" w:cs="Arial"/>
                <w:color w:val="000000" w:themeColor="text1"/>
              </w:rPr>
              <w:t>Royal Decree-Law 24/2021, of November 2, transpose</w:t>
            </w:r>
            <w:r w:rsidR="004823B4" w:rsidRPr="00A231E0">
              <w:rPr>
                <w:rFonts w:eastAsia="Calibri" w:cs="Arial"/>
                <w:color w:val="000000" w:themeColor="text1"/>
              </w:rPr>
              <w:t>s</w:t>
            </w:r>
            <w:r w:rsidR="00154BCE" w:rsidRPr="00A231E0">
              <w:rPr>
                <w:rFonts w:eastAsia="Calibri" w:cs="Arial"/>
                <w:color w:val="000000" w:themeColor="text1"/>
              </w:rPr>
              <w:t xml:space="preserve"> European Union directives on guaranteed bonds, cross-border distribution of collective investment undertakings, open data and reuse of public sector information, exercise of rights copyright and related rights applicable to certain online transmissions and retransmissions of radio and television programs, temporary exemptions for certain imports and supplies, of consumers and for the promotion of clean and energy efficient road transport vehicles</w:t>
            </w:r>
            <w:r w:rsidR="00154BCE" w:rsidRPr="00226934">
              <w:rPr>
                <w:rFonts w:eastAsia="Calibri" w:cs="Arial"/>
                <w:i/>
                <w:iCs/>
                <w:color w:val="000000" w:themeColor="text1"/>
              </w:rPr>
              <w:t xml:space="preserve"> </w:t>
            </w:r>
            <w:r w:rsidR="00154BCE" w:rsidRPr="00226934">
              <w:rPr>
                <w:rFonts w:eastAsia="Calibri" w:cs="Arial"/>
                <w:color w:val="000000" w:themeColor="text1"/>
              </w:rPr>
              <w:t>(</w:t>
            </w:r>
            <w:hyperlink r:id="rId54" w:history="1">
              <w:r w:rsidR="00154BCE" w:rsidRPr="00226934">
                <w:rPr>
                  <w:rFonts w:eastAsia="Calibri" w:cs="Arial"/>
                  <w:color w:val="1155CC"/>
                  <w:u w:val="single"/>
                </w:rPr>
                <w:t>BOE, 2021</w:t>
              </w:r>
            </w:hyperlink>
            <w:r w:rsidR="00154BCE" w:rsidRPr="00226934">
              <w:rPr>
                <w:rFonts w:eastAsia="Calibri" w:cs="Arial"/>
                <w:color w:val="000000" w:themeColor="text1"/>
              </w:rPr>
              <w:t xml:space="preserve">). </w:t>
            </w:r>
            <w:r w:rsidR="00154BCE" w:rsidRPr="00C5305B">
              <w:rPr>
                <w:rFonts w:eastAsia="Calibri" w:cs="Arial"/>
                <w:color w:val="000000" w:themeColor="text1"/>
              </w:rPr>
              <w:t>The purpose of this Royal Decree-law is to regulate the system for issuing and supervising covered bonds, establishing their characteristics, reporting obligations</w:t>
            </w:r>
            <w:r w:rsidR="005E531D">
              <w:rPr>
                <w:rFonts w:eastAsia="Calibri" w:cs="Arial"/>
                <w:color w:val="000000" w:themeColor="text1"/>
              </w:rPr>
              <w:t>,</w:t>
            </w:r>
            <w:r w:rsidR="00154BCE" w:rsidRPr="00C5305B">
              <w:rPr>
                <w:rFonts w:eastAsia="Calibri" w:cs="Arial"/>
                <w:color w:val="000000" w:themeColor="text1"/>
              </w:rPr>
              <w:t xml:space="preserve"> and investor protection mechanisms. </w:t>
            </w:r>
            <w:r>
              <w:rPr>
                <w:rFonts w:eastAsia="Calibri" w:cs="Arial"/>
                <w:color w:val="000000" w:themeColor="text1"/>
              </w:rPr>
              <w:t xml:space="preserve">Under </w:t>
            </w:r>
            <w:r w:rsidR="00154BCE" w:rsidRPr="00C5305B">
              <w:rPr>
                <w:rFonts w:eastAsia="Calibri" w:cs="Arial"/>
                <w:color w:val="000000" w:themeColor="text1"/>
              </w:rPr>
              <w:t xml:space="preserve">Article 73 'Use of protected content by service providers to share content online', platforms will be </w:t>
            </w:r>
            <w:r w:rsidR="005E531D">
              <w:rPr>
                <w:rFonts w:eastAsia="Calibri" w:cs="Arial"/>
                <w:color w:val="000000" w:themeColor="text1"/>
              </w:rPr>
              <w:t>‘</w:t>
            </w:r>
            <w:r w:rsidR="00154BCE" w:rsidRPr="00C5305B">
              <w:rPr>
                <w:rFonts w:eastAsia="Calibri" w:cs="Arial"/>
                <w:color w:val="000000" w:themeColor="text1"/>
              </w:rPr>
              <w:t xml:space="preserve">responsible for </w:t>
            </w:r>
            <w:r w:rsidR="00154BCE" w:rsidRPr="00C5305B">
              <w:rPr>
                <w:rFonts w:cs="Arial"/>
                <w:color w:val="000000" w:themeColor="text1"/>
              </w:rPr>
              <w:t>unauthorised</w:t>
            </w:r>
            <w:r w:rsidR="00154BCE" w:rsidRPr="00C5305B">
              <w:rPr>
                <w:rFonts w:eastAsia="Calibri" w:cs="Arial"/>
                <w:color w:val="000000" w:themeColor="text1"/>
              </w:rPr>
              <w:t xml:space="preserve"> acts of communication to the public, including the provision of works and other services protected by intellectual property rights</w:t>
            </w:r>
            <w:r w:rsidR="00617891">
              <w:rPr>
                <w:rFonts w:eastAsia="Calibri" w:cs="Arial"/>
                <w:color w:val="000000" w:themeColor="text1"/>
              </w:rPr>
              <w:t>’</w:t>
            </w:r>
            <w:r w:rsidR="00154BCE" w:rsidRPr="00C5305B">
              <w:rPr>
                <w:rFonts w:eastAsia="Calibri" w:cs="Arial"/>
                <w:color w:val="000000" w:themeColor="text1"/>
              </w:rPr>
              <w:t xml:space="preserve">. </w:t>
            </w:r>
            <w:r>
              <w:rPr>
                <w:rFonts w:eastAsia="Calibri" w:cs="Arial"/>
                <w:color w:val="000000" w:themeColor="text1"/>
              </w:rPr>
              <w:t>According to</w:t>
            </w:r>
            <w:r w:rsidR="007D435B">
              <w:rPr>
                <w:rFonts w:eastAsia="Calibri" w:cs="Arial"/>
                <w:color w:val="000000" w:themeColor="text1"/>
              </w:rPr>
              <w:t xml:space="preserve"> the Media Plurality Monitor</w:t>
            </w:r>
            <w:r w:rsidR="006A25BF">
              <w:rPr>
                <w:rFonts w:eastAsia="Calibri" w:cs="Arial"/>
                <w:color w:val="000000" w:themeColor="text1"/>
              </w:rPr>
              <w:t>,</w:t>
            </w:r>
            <w:r w:rsidR="007D435B">
              <w:rPr>
                <w:rFonts w:eastAsia="Calibri" w:cs="Arial"/>
                <w:color w:val="000000" w:themeColor="text1"/>
              </w:rPr>
              <w:t xml:space="preserve"> ‘</w:t>
            </w:r>
            <w:r w:rsidR="006A25BF">
              <w:rPr>
                <w:rFonts w:eastAsia="Calibri" w:cs="Arial"/>
                <w:color w:val="000000" w:themeColor="text1"/>
              </w:rPr>
              <w:t>t</w:t>
            </w:r>
            <w:r w:rsidR="00154BCE" w:rsidRPr="00C5305B">
              <w:rPr>
                <w:rFonts w:eastAsia="Calibri" w:cs="Arial"/>
                <w:color w:val="000000" w:themeColor="text1"/>
              </w:rPr>
              <w:t>his implies a new regulation that focuses on those who could previously be considered mere intermediaries and who will now run the risk of receiving sanctions</w:t>
            </w:r>
            <w:r>
              <w:rPr>
                <w:rFonts w:eastAsia="Calibri" w:cs="Arial"/>
                <w:color w:val="000000" w:themeColor="text1"/>
              </w:rPr>
              <w:t>’</w:t>
            </w:r>
            <w:r w:rsidR="006A25BF">
              <w:rPr>
                <w:rFonts w:eastAsia="Calibri" w:cs="Arial"/>
                <w:color w:val="000000" w:themeColor="text1"/>
              </w:rPr>
              <w:t xml:space="preserve"> (MPM 2022: 7)</w:t>
            </w:r>
            <w:r w:rsidR="002B4ED3">
              <w:rPr>
                <w:rFonts w:eastAsia="Calibri" w:cs="Arial"/>
                <w:color w:val="000000" w:themeColor="text1"/>
              </w:rPr>
              <w:t>.</w:t>
            </w:r>
          </w:p>
          <w:p w14:paraId="7A4270B3" w14:textId="77777777" w:rsidR="00DF3A8B" w:rsidRDefault="00DF3A8B" w:rsidP="00C5305B">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rPr>
            </w:pPr>
          </w:p>
          <w:p w14:paraId="61EA7897" w14:textId="6B3554D6" w:rsidR="00DF3A8B" w:rsidRPr="00DF3A8B" w:rsidRDefault="00D97AF7" w:rsidP="00DF3A8B">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lang w:val="es-ES"/>
              </w:rPr>
            </w:pPr>
            <w:r w:rsidRPr="00DF3A8B">
              <w:rPr>
                <w:rFonts w:eastAsia="Calibri" w:cs="Arial"/>
                <w:color w:val="000000" w:themeColor="text1"/>
                <w:lang w:val="es-ES"/>
              </w:rPr>
              <w:t>Protection of Personal Data and Guarantee of Digital Rights Law 3/2018 (LOPDGDD) [[Ley Orgánica 3/2018, de 5 de diciembre, de Protección de Datos Personales y garantía de los derechos digitales] (</w:t>
            </w:r>
            <w:hyperlink r:id="rId55" w:history="1">
              <w:r w:rsidRPr="00DF3A8B">
                <w:rPr>
                  <w:rStyle w:val="Hyperlink"/>
                  <w:rFonts w:eastAsia="Calibri" w:cs="Arial"/>
                  <w:lang w:val="es-ES"/>
                </w:rPr>
                <w:t>BOE, 2018a</w:t>
              </w:r>
            </w:hyperlink>
            <w:r w:rsidRPr="00DF3A8B">
              <w:rPr>
                <w:rFonts w:eastAsia="Calibri" w:cs="Arial"/>
                <w:color w:val="000000" w:themeColor="text1"/>
                <w:lang w:val="es-ES"/>
              </w:rPr>
              <w:t>)</w:t>
            </w:r>
            <w:r w:rsidR="006A25BF">
              <w:rPr>
                <w:rFonts w:eastAsia="Calibri" w:cs="Arial"/>
                <w:color w:val="000000" w:themeColor="text1"/>
                <w:lang w:val="es-ES"/>
              </w:rPr>
              <w:t>.</w:t>
            </w:r>
          </w:p>
          <w:p w14:paraId="7B21128B" w14:textId="77777777" w:rsidR="00DF3A8B" w:rsidRPr="00DF3A8B" w:rsidRDefault="00DF3A8B" w:rsidP="00DF3A8B">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lang w:val="es-ES"/>
              </w:rPr>
            </w:pPr>
          </w:p>
          <w:p w14:paraId="3ED14898" w14:textId="77777777" w:rsidR="00DF3A8B" w:rsidRDefault="00D97AF7" w:rsidP="00DF3A8B">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lang w:val="es-ES"/>
              </w:rPr>
            </w:pPr>
            <w:r w:rsidRPr="00DF3A8B">
              <w:rPr>
                <w:rFonts w:eastAsia="Calibri" w:cs="Arial"/>
                <w:color w:val="000000" w:themeColor="text1"/>
                <w:lang w:val="es-ES"/>
              </w:rPr>
              <w:t xml:space="preserve">Information Society Services and Electronic Commerce (LSSI) Law 34/2002 [Ley 34/2002, de 11 </w:t>
            </w:r>
            <w:r w:rsidRPr="00DF3A8B">
              <w:rPr>
                <w:rFonts w:eastAsia="Calibri" w:cs="Arial"/>
                <w:color w:val="000000" w:themeColor="text1"/>
                <w:lang w:val="es-ES"/>
              </w:rPr>
              <w:lastRenderedPageBreak/>
              <w:t>de julio, de servicios de la sociedad de la información y de comercio electrónico] (</w:t>
            </w:r>
            <w:hyperlink r:id="rId56" w:history="1">
              <w:r w:rsidRPr="00DF3A8B">
                <w:rPr>
                  <w:rStyle w:val="Hyperlink"/>
                  <w:rFonts w:eastAsia="Calibri" w:cs="Arial"/>
                  <w:lang w:val="es-ES"/>
                </w:rPr>
                <w:t>BOE, 2002</w:t>
              </w:r>
            </w:hyperlink>
            <w:r w:rsidRPr="00DF3A8B">
              <w:rPr>
                <w:rFonts w:eastAsia="Calibri" w:cs="Arial"/>
                <w:color w:val="000000" w:themeColor="text1"/>
                <w:lang w:val="es-ES"/>
              </w:rPr>
              <w:t>)</w:t>
            </w:r>
            <w:r>
              <w:rPr>
                <w:rFonts w:eastAsia="Calibri" w:cs="Arial"/>
                <w:color w:val="000000" w:themeColor="text1"/>
                <w:lang w:val="es-ES"/>
              </w:rPr>
              <w:t>.</w:t>
            </w:r>
          </w:p>
          <w:p w14:paraId="7DDAD0D9" w14:textId="77777777" w:rsidR="00DF3A8B" w:rsidRPr="00DF3A8B" w:rsidRDefault="00DF3A8B" w:rsidP="00DF3A8B">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lang w:val="es-ES"/>
              </w:rPr>
            </w:pPr>
          </w:p>
          <w:p w14:paraId="4E8B08AC" w14:textId="77777777" w:rsidR="00154BCE" w:rsidRPr="00226934" w:rsidRDefault="00D97AF7" w:rsidP="00C5305B">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lang w:val="es-ES"/>
              </w:rPr>
            </w:pPr>
            <w:r w:rsidRPr="00DF3A8B">
              <w:rPr>
                <w:rFonts w:eastAsia="Calibri" w:cs="Arial"/>
                <w:color w:val="000000" w:themeColor="text1"/>
                <w:lang w:val="es-ES"/>
              </w:rPr>
              <w:t xml:space="preserve">Unfair Competition Law 3/1991 [Ley 3/1991, de 10 de enero, de Competencia Desleal] </w:t>
            </w:r>
            <w:r>
              <w:rPr>
                <w:rFonts w:eastAsia="Calibri" w:cs="Arial"/>
                <w:color w:val="000000" w:themeColor="text1"/>
                <w:lang w:val="es-ES"/>
              </w:rPr>
              <w:t>(</w:t>
            </w:r>
            <w:hyperlink r:id="rId57" w:history="1">
              <w:r w:rsidRPr="00DF3A8B">
                <w:rPr>
                  <w:rStyle w:val="Hyperlink"/>
                  <w:rFonts w:eastAsia="Calibri" w:cs="Arial"/>
                  <w:lang w:val="es-ES"/>
                </w:rPr>
                <w:t>BOE, 1991</w:t>
              </w:r>
            </w:hyperlink>
            <w:r w:rsidRPr="00226934">
              <w:rPr>
                <w:rFonts w:eastAsia="Calibri" w:cs="Arial"/>
                <w:color w:val="000000" w:themeColor="text1"/>
                <w:lang w:val="es-ES"/>
              </w:rPr>
              <w:t>).</w:t>
            </w:r>
          </w:p>
        </w:tc>
      </w:tr>
      <w:tr w:rsidR="000F492D" w14:paraId="6FBDAE3C" w14:textId="77777777" w:rsidTr="6BF39E6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45" w:type="dxa"/>
            <w:tcBorders>
              <w:top w:val="none" w:sz="0" w:space="0" w:color="auto"/>
              <w:bottom w:val="none" w:sz="0" w:space="0" w:color="auto"/>
            </w:tcBorders>
          </w:tcPr>
          <w:p w14:paraId="7AEA35B8" w14:textId="77777777" w:rsidR="00703A7B" w:rsidRPr="00203503" w:rsidRDefault="00D97AF7" w:rsidP="00F92CC7">
            <w:pPr>
              <w:spacing w:line="276" w:lineRule="auto"/>
              <w:rPr>
                <w:rFonts w:cs="Arial"/>
                <w:color w:val="747474" w:themeColor="background2" w:themeShade="80"/>
              </w:rPr>
            </w:pPr>
            <w:r>
              <w:rPr>
                <w:rFonts w:cs="Arial"/>
                <w:color w:val="747474" w:themeColor="background2" w:themeShade="80"/>
              </w:rPr>
              <w:lastRenderedPageBreak/>
              <w:t>3.3</w:t>
            </w:r>
          </w:p>
        </w:tc>
        <w:tc>
          <w:tcPr>
            <w:tcW w:w="2332" w:type="dxa"/>
            <w:tcBorders>
              <w:top w:val="none" w:sz="0" w:space="0" w:color="auto"/>
              <w:bottom w:val="none" w:sz="0" w:space="0" w:color="auto"/>
            </w:tcBorders>
          </w:tcPr>
          <w:p w14:paraId="061BCF1B" w14:textId="77777777" w:rsidR="00703A7B"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102F13">
              <w:t>Regulatory Authorities</w:t>
            </w:r>
          </w:p>
        </w:tc>
        <w:tc>
          <w:tcPr>
            <w:tcW w:w="2410" w:type="dxa"/>
            <w:tcBorders>
              <w:top w:val="none" w:sz="0" w:space="0" w:color="auto"/>
              <w:bottom w:val="none" w:sz="0" w:space="0" w:color="auto"/>
            </w:tcBorders>
          </w:tcPr>
          <w:p w14:paraId="73E4EAA4" w14:textId="77777777" w:rsidR="00DF3A8B" w:rsidRPr="00DF3A8B" w:rsidRDefault="00D97AF7" w:rsidP="00DF3A8B">
            <w:pPr>
              <w:cnfStyle w:val="000000100000" w:firstRow="0" w:lastRow="0" w:firstColumn="0" w:lastColumn="0" w:oddVBand="0" w:evenVBand="0" w:oddHBand="1" w:evenHBand="0" w:firstRowFirstColumn="0" w:firstRowLastColumn="0" w:lastRowFirstColumn="0" w:lastRowLastColumn="0"/>
              <w:rPr>
                <w:rFonts w:cs="Arial"/>
              </w:rPr>
            </w:pPr>
            <w:r w:rsidRPr="00DF3A8B">
              <w:rPr>
                <w:rFonts w:cs="Arial"/>
              </w:rPr>
              <w:t xml:space="preserve">European Union </w:t>
            </w:r>
          </w:p>
          <w:p w14:paraId="300A7962" w14:textId="77777777" w:rsidR="00DF3A8B" w:rsidRDefault="00DF3A8B" w:rsidP="00DF3A8B">
            <w:pPr>
              <w:cnfStyle w:val="000000100000" w:firstRow="0" w:lastRow="0" w:firstColumn="0" w:lastColumn="0" w:oddVBand="0" w:evenVBand="0" w:oddHBand="1" w:evenHBand="0" w:firstRowFirstColumn="0" w:firstRowLastColumn="0" w:lastRowFirstColumn="0" w:lastRowLastColumn="0"/>
              <w:rPr>
                <w:rFonts w:cs="Arial"/>
              </w:rPr>
            </w:pPr>
          </w:p>
          <w:p w14:paraId="1CDF7C58" w14:textId="77777777" w:rsidR="00DF3A8B" w:rsidRPr="00226934" w:rsidRDefault="00D97AF7" w:rsidP="00DF3A8B">
            <w:pPr>
              <w:cnfStyle w:val="000000100000" w:firstRow="0" w:lastRow="0" w:firstColumn="0" w:lastColumn="0" w:oddVBand="0" w:evenVBand="0" w:oddHBand="1" w:evenHBand="0" w:firstRowFirstColumn="0" w:firstRowLastColumn="0" w:lastRowFirstColumn="0" w:lastRowLastColumn="0"/>
              <w:rPr>
                <w:rFonts w:cs="Arial"/>
              </w:rPr>
            </w:pPr>
            <w:r w:rsidRPr="006A25BF">
              <w:rPr>
                <w:rFonts w:cs="Arial"/>
              </w:rPr>
              <w:t xml:space="preserve">Spanish Government </w:t>
            </w:r>
            <w:r w:rsidRPr="00226934">
              <w:rPr>
                <w:rFonts w:cs="Arial"/>
              </w:rPr>
              <w:t>(Ministry of Economy, Trade and Enterprise)</w:t>
            </w:r>
          </w:p>
          <w:p w14:paraId="44B20A58" w14:textId="409717EF" w:rsidR="00DF3A8B" w:rsidRDefault="00DF3A8B" w:rsidP="00DF3A8B">
            <w:pPr>
              <w:cnfStyle w:val="000000100000" w:firstRow="0" w:lastRow="0" w:firstColumn="0" w:lastColumn="0" w:oddVBand="0" w:evenVBand="0" w:oddHBand="1" w:evenHBand="0" w:firstRowFirstColumn="0" w:firstRowLastColumn="0" w:lastRowFirstColumn="0" w:lastRowLastColumn="0"/>
              <w:rPr>
                <w:rFonts w:cs="Arial"/>
              </w:rPr>
            </w:pPr>
          </w:p>
          <w:p w14:paraId="7F7DF8EC" w14:textId="3CAE4CB4" w:rsidR="006A25BF" w:rsidRPr="00226934" w:rsidRDefault="006D4717" w:rsidP="00DF3A8B">
            <w:pPr>
              <w:cnfStyle w:val="000000100000" w:firstRow="0" w:lastRow="0" w:firstColumn="0" w:lastColumn="0" w:oddVBand="0" w:evenVBand="0" w:oddHBand="1" w:evenHBand="0" w:firstRowFirstColumn="0" w:firstRowLastColumn="0" w:lastRowFirstColumn="0" w:lastRowLastColumn="0"/>
              <w:rPr>
                <w:rFonts w:cs="Arial"/>
                <w:lang w:val="es-ES"/>
              </w:rPr>
            </w:pPr>
            <w:r w:rsidRPr="00226934">
              <w:rPr>
                <w:lang w:val="es-ES"/>
              </w:rPr>
              <w:t>National Commission on Markets and Competition (</w:t>
            </w:r>
            <w:r w:rsidR="006A25BF" w:rsidRPr="00226934">
              <w:rPr>
                <w:rFonts w:cs="Arial"/>
                <w:lang w:val="es-ES"/>
              </w:rPr>
              <w:t>Comisión Nacional de los Mercados y la Competencia</w:t>
            </w:r>
            <w:r w:rsidRPr="00226934">
              <w:rPr>
                <w:rFonts w:cs="Arial"/>
                <w:lang w:val="es-ES"/>
              </w:rPr>
              <w:t xml:space="preserve">, or </w:t>
            </w:r>
            <w:r w:rsidR="006A25BF" w:rsidRPr="00226934">
              <w:rPr>
                <w:rFonts w:cs="Arial"/>
                <w:lang w:val="es-ES"/>
              </w:rPr>
              <w:t>CNMC)</w:t>
            </w:r>
          </w:p>
          <w:p w14:paraId="4B092FF0" w14:textId="77777777" w:rsidR="006A25BF" w:rsidRPr="00226934" w:rsidRDefault="006A25BF" w:rsidP="00DF3A8B">
            <w:pPr>
              <w:cnfStyle w:val="000000100000" w:firstRow="0" w:lastRow="0" w:firstColumn="0" w:lastColumn="0" w:oddVBand="0" w:evenVBand="0" w:oddHBand="1" w:evenHBand="0" w:firstRowFirstColumn="0" w:firstRowLastColumn="0" w:lastRowFirstColumn="0" w:lastRowLastColumn="0"/>
              <w:rPr>
                <w:rFonts w:cs="Arial"/>
                <w:lang w:val="es-ES"/>
              </w:rPr>
            </w:pPr>
          </w:p>
          <w:p w14:paraId="7D43ABA8" w14:textId="77777777" w:rsidR="00DF3A8B" w:rsidRPr="00DF3A8B" w:rsidRDefault="00D97AF7" w:rsidP="00DF3A8B">
            <w:pPr>
              <w:cnfStyle w:val="000000100000" w:firstRow="0" w:lastRow="0" w:firstColumn="0" w:lastColumn="0" w:oddVBand="0" w:evenVBand="0" w:oddHBand="1" w:evenHBand="0" w:firstRowFirstColumn="0" w:firstRowLastColumn="0" w:lastRowFirstColumn="0" w:lastRowLastColumn="0"/>
              <w:rPr>
                <w:rFonts w:cs="Arial"/>
              </w:rPr>
            </w:pPr>
            <w:r w:rsidRPr="00DF3A8B">
              <w:rPr>
                <w:rFonts w:cs="Arial"/>
              </w:rPr>
              <w:t>Autonomous Communities</w:t>
            </w:r>
          </w:p>
          <w:p w14:paraId="281D3622" w14:textId="77777777" w:rsidR="00703A7B" w:rsidRDefault="00703A7B"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387" w:type="dxa"/>
            <w:tcBorders>
              <w:top w:val="none" w:sz="0" w:space="0" w:color="auto"/>
              <w:bottom w:val="none" w:sz="0" w:space="0" w:color="auto"/>
            </w:tcBorders>
          </w:tcPr>
          <w:p w14:paraId="45FBA4BB" w14:textId="050D9889" w:rsidR="002A5075" w:rsidRPr="002A5075" w:rsidRDefault="002A5075" w:rsidP="002A5075">
            <w:pPr>
              <w:pStyle w:val="Classificationcolumntext"/>
              <w:cnfStyle w:val="000000100000" w:firstRow="0" w:lastRow="0" w:firstColumn="0" w:lastColumn="0" w:oddVBand="0" w:evenVBand="0" w:oddHBand="1" w:evenHBand="0" w:firstRowFirstColumn="0" w:firstRowLastColumn="0" w:lastRowFirstColumn="0" w:lastRowLastColumn="0"/>
              <w:rPr>
                <w:rFonts w:eastAsiaTheme="minorHAnsi"/>
                <w:color w:val="auto"/>
              </w:rPr>
            </w:pPr>
            <w:r w:rsidRPr="002A5075">
              <w:rPr>
                <w:rFonts w:eastAsiaTheme="minorHAnsi"/>
                <w:color w:val="auto"/>
              </w:rPr>
              <w:t xml:space="preserve">The Spanish Ministry of Economy, Commerce and Business is the main state public institution in charge of enforcing the rules in relation to audiovisual communication regulations. Its functions in this matter are carried out through the </w:t>
            </w:r>
            <w:hyperlink r:id="rId58" w:history="1">
              <w:r w:rsidRPr="002A5075">
                <w:rPr>
                  <w:rStyle w:val="Hyperlink"/>
                  <w:rFonts w:eastAsiaTheme="minorHAnsi"/>
                </w:rPr>
                <w:t>Secretary of State for Telecommunications and Digital Infrastructures</w:t>
              </w:r>
            </w:hyperlink>
            <w:r w:rsidRPr="002A5075">
              <w:rPr>
                <w:rFonts w:eastAsiaTheme="minorHAnsi"/>
                <w:color w:val="auto"/>
              </w:rPr>
              <w:t xml:space="preserve">, whose powers are: </w:t>
            </w:r>
          </w:p>
          <w:p w14:paraId="61EB7DD0" w14:textId="7FCFD318" w:rsidR="002A5075" w:rsidRPr="002A5075" w:rsidRDefault="005E531D" w:rsidP="002A5075">
            <w:pPr>
              <w:pStyle w:val="Classificationcolumntext"/>
              <w:cnfStyle w:val="000000100000" w:firstRow="0" w:lastRow="0" w:firstColumn="0" w:lastColumn="0" w:oddVBand="0" w:evenVBand="0" w:oddHBand="1" w:evenHBand="0" w:firstRowFirstColumn="0" w:firstRowLastColumn="0" w:lastRowFirstColumn="0" w:lastRowLastColumn="0"/>
              <w:rPr>
                <w:rFonts w:eastAsiaTheme="minorHAnsi"/>
                <w:color w:val="auto"/>
              </w:rPr>
            </w:pPr>
            <w:r>
              <w:rPr>
                <w:rFonts w:eastAsiaTheme="minorHAnsi"/>
                <w:color w:val="auto"/>
              </w:rPr>
              <w:t>To p</w:t>
            </w:r>
            <w:r w:rsidR="002A5075" w:rsidRPr="002A5075">
              <w:rPr>
                <w:rFonts w:eastAsiaTheme="minorHAnsi"/>
                <w:color w:val="auto"/>
              </w:rPr>
              <w:t>romote and regulate the telecommunications sector and audiovisual communication services.</w:t>
            </w:r>
          </w:p>
          <w:p w14:paraId="22467346" w14:textId="77777777" w:rsidR="002A5075" w:rsidRPr="002A5075" w:rsidRDefault="002A5075" w:rsidP="002A5075">
            <w:pPr>
              <w:pStyle w:val="Classificationcolumntext"/>
              <w:cnfStyle w:val="000000100000" w:firstRow="0" w:lastRow="0" w:firstColumn="0" w:lastColumn="0" w:oddVBand="0" w:evenVBand="0" w:oddHBand="1" w:evenHBand="0" w:firstRowFirstColumn="0" w:firstRowLastColumn="0" w:lastRowFirstColumn="0" w:lastRowLastColumn="0"/>
              <w:rPr>
                <w:rFonts w:eastAsiaTheme="minorHAnsi"/>
                <w:color w:val="auto"/>
              </w:rPr>
            </w:pPr>
            <w:r w:rsidRPr="002A5075">
              <w:rPr>
                <w:rFonts w:eastAsiaTheme="minorHAnsi"/>
                <w:color w:val="auto"/>
              </w:rPr>
              <w:t xml:space="preserve">To be an interlocutor between the professional, industrial and academic sectors of audiovisual communication. </w:t>
            </w:r>
          </w:p>
          <w:p w14:paraId="03C10EB0" w14:textId="711CF53D" w:rsidR="002A5075" w:rsidRPr="002A5075" w:rsidRDefault="0077205F" w:rsidP="002A5075">
            <w:pPr>
              <w:pStyle w:val="Classificationcolumntext"/>
              <w:cnfStyle w:val="000000100000" w:firstRow="0" w:lastRow="0" w:firstColumn="0" w:lastColumn="0" w:oddVBand="0" w:evenVBand="0" w:oddHBand="1" w:evenHBand="0" w:firstRowFirstColumn="0" w:firstRowLastColumn="0" w:lastRowFirstColumn="0" w:lastRowLastColumn="0"/>
              <w:rPr>
                <w:rFonts w:eastAsiaTheme="minorHAnsi"/>
                <w:color w:val="auto"/>
              </w:rPr>
            </w:pPr>
            <w:r>
              <w:rPr>
                <w:rFonts w:eastAsiaTheme="minorHAnsi"/>
                <w:color w:val="auto"/>
              </w:rPr>
              <w:t>To c</w:t>
            </w:r>
            <w:r w:rsidR="002A5075" w:rsidRPr="002A5075">
              <w:rPr>
                <w:rFonts w:eastAsiaTheme="minorHAnsi"/>
                <w:color w:val="auto"/>
              </w:rPr>
              <w:t xml:space="preserve">oordinate other public organizations that manage the sector at the regional and local level. </w:t>
            </w:r>
          </w:p>
          <w:p w14:paraId="205D29A4" w14:textId="2BC771CA" w:rsidR="002A5075" w:rsidRPr="002A5075" w:rsidRDefault="0077205F" w:rsidP="002A5075">
            <w:pPr>
              <w:pStyle w:val="Classificationcolumntext"/>
              <w:cnfStyle w:val="000000100000" w:firstRow="0" w:lastRow="0" w:firstColumn="0" w:lastColumn="0" w:oddVBand="0" w:evenVBand="0" w:oddHBand="1" w:evenHBand="0" w:firstRowFirstColumn="0" w:firstRowLastColumn="0" w:lastRowFirstColumn="0" w:lastRowLastColumn="0"/>
              <w:rPr>
                <w:rFonts w:eastAsiaTheme="minorHAnsi"/>
                <w:color w:val="auto"/>
              </w:rPr>
            </w:pPr>
            <w:r>
              <w:rPr>
                <w:rFonts w:eastAsiaTheme="minorHAnsi"/>
                <w:color w:val="auto"/>
              </w:rPr>
              <w:t>To d</w:t>
            </w:r>
            <w:r w:rsidR="002A5075" w:rsidRPr="002A5075">
              <w:rPr>
                <w:rFonts w:eastAsiaTheme="minorHAnsi"/>
                <w:color w:val="auto"/>
              </w:rPr>
              <w:t xml:space="preserve">eploy the necessary infrastructure to guarantee the audiovisual communication service to Spanish citizens. </w:t>
            </w:r>
          </w:p>
          <w:p w14:paraId="311338CB" w14:textId="1D651406" w:rsidR="002A5075" w:rsidRPr="002A5075" w:rsidRDefault="002A5075" w:rsidP="002A5075">
            <w:pPr>
              <w:pStyle w:val="Classificationcolumntext"/>
              <w:cnfStyle w:val="000000100000" w:firstRow="0" w:lastRow="0" w:firstColumn="0" w:lastColumn="0" w:oddVBand="0" w:evenVBand="0" w:oddHBand="1" w:evenHBand="0" w:firstRowFirstColumn="0" w:firstRowLastColumn="0" w:lastRowFirstColumn="0" w:lastRowLastColumn="0"/>
              <w:rPr>
                <w:rFonts w:eastAsiaTheme="minorHAnsi"/>
                <w:color w:val="auto"/>
              </w:rPr>
            </w:pPr>
            <w:r w:rsidRPr="002A5075">
              <w:rPr>
                <w:rFonts w:eastAsiaTheme="minorHAnsi"/>
                <w:color w:val="auto"/>
              </w:rPr>
              <w:t>Another notable authority is the National Markets and Competition Commission -</w:t>
            </w:r>
            <w:hyperlink r:id="rId59" w:history="1">
              <w:r w:rsidRPr="002A5075">
                <w:rPr>
                  <w:rStyle w:val="Hyperlink"/>
                  <w:rFonts w:eastAsiaTheme="minorHAnsi"/>
                </w:rPr>
                <w:t>CNMC</w:t>
              </w:r>
            </w:hyperlink>
            <w:r w:rsidRPr="002A5075">
              <w:rPr>
                <w:rFonts w:eastAsiaTheme="minorHAnsi"/>
                <w:color w:val="auto"/>
              </w:rPr>
              <w:t>-, an independent regulatory body that is responsible for preserving, guaranteeing</w:t>
            </w:r>
            <w:r w:rsidR="0077205F">
              <w:rPr>
                <w:rFonts w:eastAsiaTheme="minorHAnsi"/>
                <w:color w:val="auto"/>
              </w:rPr>
              <w:t>,</w:t>
            </w:r>
            <w:r w:rsidRPr="002A5075">
              <w:rPr>
                <w:rFonts w:eastAsiaTheme="minorHAnsi"/>
                <w:color w:val="auto"/>
              </w:rPr>
              <w:t xml:space="preserve"> and promoting the correct functioning of all markets and productive sectors, including the audiovisual sector. </w:t>
            </w:r>
          </w:p>
          <w:p w14:paraId="03B271A0" w14:textId="50349E7C" w:rsidR="00703A7B" w:rsidRPr="0016559B" w:rsidRDefault="002A5075" w:rsidP="002A5075">
            <w:pPr>
              <w:cnfStyle w:val="000000100000" w:firstRow="0" w:lastRow="0" w:firstColumn="0" w:lastColumn="0" w:oddVBand="0" w:evenVBand="0" w:oddHBand="1" w:evenHBand="0" w:firstRowFirstColumn="0" w:firstRowLastColumn="0" w:lastRowFirstColumn="0" w:lastRowLastColumn="0"/>
              <w:rPr>
                <w:rFonts w:cs="Arial"/>
              </w:rPr>
            </w:pPr>
            <w:r w:rsidRPr="002A5075">
              <w:t>Its main functions are: supervising the application of sector regulations; resolv</w:t>
            </w:r>
            <w:r w:rsidR="0077205F">
              <w:t>ing</w:t>
            </w:r>
            <w:r w:rsidRPr="002A5075">
              <w:t xml:space="preserve"> conflicts between audiovisual market agents; establish</w:t>
            </w:r>
            <w:r w:rsidR="0077205F">
              <w:t>ing</w:t>
            </w:r>
            <w:r w:rsidRPr="002A5075">
              <w:t xml:space="preserve"> guidelines and instructions on the </w:t>
            </w:r>
            <w:r w:rsidR="0077205F" w:rsidRPr="002A5075">
              <w:t>defence</w:t>
            </w:r>
            <w:r w:rsidRPr="002A5075">
              <w:t xml:space="preserve"> of competition</w:t>
            </w:r>
            <w:r w:rsidR="0077205F">
              <w:t>&lt;</w:t>
            </w:r>
            <w:r w:rsidRPr="002A5075">
              <w:t xml:space="preserve"> and guarantee</w:t>
            </w:r>
            <w:r w:rsidR="0077205F">
              <w:t>ing</w:t>
            </w:r>
            <w:r w:rsidRPr="002A5075">
              <w:t xml:space="preserve"> the correct functioning of the sector. </w:t>
            </w:r>
            <w:hyperlink r:id="rId60" w:history="1">
              <w:r w:rsidRPr="002A5075">
                <w:rPr>
                  <w:rStyle w:val="Hyperlink"/>
                </w:rPr>
                <w:t>BOE</w:t>
              </w:r>
            </w:hyperlink>
          </w:p>
        </w:tc>
      </w:tr>
      <w:tr w:rsidR="000F492D" w14:paraId="6D19FE36" w14:textId="77777777" w:rsidTr="6BF39E6C">
        <w:trPr>
          <w:trHeight w:val="170"/>
        </w:trPr>
        <w:tc>
          <w:tcPr>
            <w:cnfStyle w:val="001000000000" w:firstRow="0" w:lastRow="0" w:firstColumn="1" w:lastColumn="0" w:oddVBand="0" w:evenVBand="0" w:oddHBand="0" w:evenHBand="0" w:firstRowFirstColumn="0" w:firstRowLastColumn="0" w:lastRowFirstColumn="0" w:lastRowLastColumn="0"/>
            <w:tcW w:w="645" w:type="dxa"/>
          </w:tcPr>
          <w:p w14:paraId="5AD22CF4" w14:textId="77777777" w:rsidR="00703A7B" w:rsidRPr="00203503" w:rsidRDefault="00D97AF7" w:rsidP="00F92CC7">
            <w:pPr>
              <w:spacing w:line="276" w:lineRule="auto"/>
              <w:rPr>
                <w:rFonts w:cs="Arial"/>
                <w:color w:val="747474" w:themeColor="background2" w:themeShade="80"/>
              </w:rPr>
            </w:pPr>
            <w:r>
              <w:rPr>
                <w:rFonts w:cs="Arial"/>
                <w:color w:val="747474" w:themeColor="background2" w:themeShade="80"/>
              </w:rPr>
              <w:t>3.4</w:t>
            </w:r>
          </w:p>
        </w:tc>
        <w:tc>
          <w:tcPr>
            <w:tcW w:w="2332" w:type="dxa"/>
          </w:tcPr>
          <w:p w14:paraId="4C1381E7" w14:textId="77777777" w:rsidR="00703A7B"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102F13">
              <w:t>Co-regulation</w:t>
            </w:r>
          </w:p>
        </w:tc>
        <w:tc>
          <w:tcPr>
            <w:tcW w:w="2410" w:type="dxa"/>
          </w:tcPr>
          <w:p w14:paraId="236B5F06" w14:textId="77777777" w:rsidR="00703A7B" w:rsidRDefault="00703A7B"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387" w:type="dxa"/>
          </w:tcPr>
          <w:p w14:paraId="30F429FC" w14:textId="7D1E3E54" w:rsidR="006E60F2" w:rsidRPr="006E60F2" w:rsidRDefault="006E60F2" w:rsidP="006E60F2">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sidRPr="006E60F2">
              <w:rPr>
                <w:rFonts w:cs="Arial"/>
              </w:rPr>
              <w:t>The Spanish Government has promoted the co-regulation of the audiovisual sector as a new measure of the “Spain, Audiovisual Hub of Europe” Plan (</w:t>
            </w:r>
            <w:r>
              <w:rPr>
                <w:rFonts w:cs="Arial"/>
              </w:rPr>
              <w:t>named:</w:t>
            </w:r>
            <w:r w:rsidRPr="006E60F2">
              <w:rPr>
                <w:rFonts w:cs="Arial"/>
              </w:rPr>
              <w:t xml:space="preserve"> </w:t>
            </w:r>
            <w:hyperlink r:id="rId61" w:history="1">
              <w:r w:rsidRPr="006E60F2">
                <w:rPr>
                  <w:rStyle w:val="Hyperlink"/>
                  <w:rFonts w:cs="Arial"/>
                </w:rPr>
                <w:t>Spain AVS Hub</w:t>
              </w:r>
            </w:hyperlink>
            <w:r w:rsidRPr="006E60F2">
              <w:rPr>
                <w:rFonts w:cs="Arial"/>
              </w:rPr>
              <w:t>)</w:t>
            </w:r>
            <w:r w:rsidR="0077205F">
              <w:rPr>
                <w:rFonts w:cs="Arial"/>
              </w:rPr>
              <w:t>,</w:t>
            </w:r>
            <w:r w:rsidRPr="006E60F2">
              <w:rPr>
                <w:rFonts w:cs="Arial"/>
              </w:rPr>
              <w:t xml:space="preserve"> which is one of the axes of the Digital Agenda 2025 for Spain. The fourth Axis of this Plan is “Regulatory reforms and elimination of administrative barriers”, its objectives being to improve the sector through regulatory reform, </w:t>
            </w:r>
            <w:r w:rsidR="0077205F">
              <w:rPr>
                <w:rFonts w:cs="Arial"/>
              </w:rPr>
              <w:t xml:space="preserve">to </w:t>
            </w:r>
            <w:r w:rsidRPr="006E60F2">
              <w:rPr>
                <w:rFonts w:cs="Arial"/>
              </w:rPr>
              <w:t>simplify administrative burdens</w:t>
            </w:r>
            <w:r w:rsidR="0077205F">
              <w:rPr>
                <w:rFonts w:cs="Arial"/>
              </w:rPr>
              <w:t>,</w:t>
            </w:r>
            <w:r w:rsidRPr="006E60F2">
              <w:rPr>
                <w:rFonts w:cs="Arial"/>
              </w:rPr>
              <w:t xml:space="preserve"> and </w:t>
            </w:r>
            <w:r w:rsidR="0077205F">
              <w:rPr>
                <w:rFonts w:cs="Arial"/>
              </w:rPr>
              <w:t xml:space="preserve">to </w:t>
            </w:r>
            <w:r w:rsidRPr="006E60F2">
              <w:rPr>
                <w:rFonts w:cs="Arial"/>
              </w:rPr>
              <w:t xml:space="preserve">monitor the implementation of the plan. </w:t>
            </w:r>
          </w:p>
          <w:p w14:paraId="11A3BC97" w14:textId="394F1F6D" w:rsidR="00703A7B" w:rsidRDefault="006E60F2" w:rsidP="006E60F2">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sidRPr="006E60F2">
              <w:rPr>
                <w:rFonts w:cs="Arial"/>
              </w:rPr>
              <w:t xml:space="preserve">Therefore, co-regulation in Spain would </w:t>
            </w:r>
            <w:r w:rsidR="0077205F">
              <w:rPr>
                <w:rFonts w:cs="Arial"/>
              </w:rPr>
              <w:t>rely on</w:t>
            </w:r>
            <w:r w:rsidRPr="006E60F2">
              <w:rPr>
                <w:rFonts w:cs="Arial"/>
              </w:rPr>
              <w:t xml:space="preserve"> the establishment of standards that regulate the audiovisual sector - the </w:t>
            </w:r>
            <w:hyperlink r:id="rId62" w:history="1">
              <w:r w:rsidRPr="006E60F2">
                <w:rPr>
                  <w:rStyle w:val="Hyperlink"/>
                  <w:rFonts w:cs="Arial"/>
                </w:rPr>
                <w:t>LGCA</w:t>
              </w:r>
            </w:hyperlink>
            <w:r w:rsidRPr="006E60F2">
              <w:rPr>
                <w:rFonts w:cs="Arial"/>
              </w:rPr>
              <w:t xml:space="preserve"> and </w:t>
            </w:r>
            <w:hyperlink r:id="rId63" w:history="1">
              <w:r w:rsidRPr="006E60F2">
                <w:rPr>
                  <w:rStyle w:val="Hyperlink"/>
                  <w:rFonts w:cs="Arial"/>
                </w:rPr>
                <w:t>the Cinema Law</w:t>
              </w:r>
            </w:hyperlink>
            <w:r w:rsidRPr="006E60F2">
              <w:rPr>
                <w:rFonts w:cs="Arial"/>
              </w:rPr>
              <w:t xml:space="preserve"> </w:t>
            </w:r>
            <w:r w:rsidRPr="006E60F2">
              <w:rPr>
                <w:rFonts w:cs="Arial"/>
              </w:rPr>
              <w:lastRenderedPageBreak/>
              <w:t>that is being drafted are results of this system - as well as the resolution of conflicts and adopting corrective measures by the failure to comply with the rules.</w:t>
            </w:r>
          </w:p>
          <w:p w14:paraId="6929366E" w14:textId="42643708" w:rsidR="004B3109" w:rsidRPr="0016559B" w:rsidRDefault="004B3109" w:rsidP="006E60F2">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sidRPr="004B3109">
              <w:rPr>
                <w:rFonts w:cs="Arial"/>
              </w:rPr>
              <w:t xml:space="preserve">According to the LGCA -article </w:t>
            </w:r>
            <w:hyperlink r:id="rId64" w:history="1">
              <w:r w:rsidRPr="004B3109">
                <w:rPr>
                  <w:rStyle w:val="Hyperlink"/>
                  <w:rFonts w:cs="Arial"/>
                </w:rPr>
                <w:t>14 and 15</w:t>
              </w:r>
            </w:hyperlink>
            <w:r w:rsidRPr="004B3109">
              <w:rPr>
                <w:rFonts w:cs="Arial"/>
              </w:rPr>
              <w:t>- there will be an audiovisual authority that will be in charge of promoting co-regulation through agreements with agents in the sector, and it is planned that this authority will be the State Council of Audiovisual Media but it has not yet been created and Meanwhile, the National Markets and Competition Commission -CNMC- is in charge of controlling, overseeing and monitoring the strategic plan.</w:t>
            </w:r>
            <w:r>
              <w:rPr>
                <w:rFonts w:cs="Arial"/>
              </w:rPr>
              <w:t xml:space="preserve"> </w:t>
            </w:r>
            <w:hyperlink r:id="rId65" w:history="1">
              <w:r w:rsidRPr="004B3109">
                <w:rPr>
                  <w:rStyle w:val="Hyperlink"/>
                  <w:rFonts w:cs="Arial"/>
                </w:rPr>
                <w:t>Dialnet</w:t>
              </w:r>
            </w:hyperlink>
          </w:p>
        </w:tc>
      </w:tr>
      <w:tr w:rsidR="000F492D" w14:paraId="0295D9FE" w14:textId="77777777" w:rsidTr="6BF39E6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645" w:type="dxa"/>
            <w:tcBorders>
              <w:top w:val="none" w:sz="0" w:space="0" w:color="auto"/>
              <w:bottom w:val="none" w:sz="0" w:space="0" w:color="auto"/>
            </w:tcBorders>
          </w:tcPr>
          <w:p w14:paraId="193A5F2C" w14:textId="77777777" w:rsidR="00703A7B" w:rsidRPr="00203503" w:rsidRDefault="00D97AF7" w:rsidP="00F92CC7">
            <w:pPr>
              <w:spacing w:line="276" w:lineRule="auto"/>
              <w:rPr>
                <w:rFonts w:cs="Arial"/>
                <w:color w:val="747474" w:themeColor="background2" w:themeShade="80"/>
              </w:rPr>
            </w:pPr>
            <w:r>
              <w:rPr>
                <w:rFonts w:cs="Arial"/>
                <w:color w:val="747474" w:themeColor="background2" w:themeShade="80"/>
              </w:rPr>
              <w:lastRenderedPageBreak/>
              <w:t>3.5</w:t>
            </w:r>
          </w:p>
        </w:tc>
        <w:tc>
          <w:tcPr>
            <w:tcW w:w="2332" w:type="dxa"/>
            <w:tcBorders>
              <w:top w:val="none" w:sz="0" w:space="0" w:color="auto"/>
              <w:bottom w:val="none" w:sz="0" w:space="0" w:color="auto"/>
            </w:tcBorders>
          </w:tcPr>
          <w:p w14:paraId="6F61D0B5" w14:textId="77777777" w:rsidR="00703A7B"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102F13">
              <w:t>Self-regulation</w:t>
            </w:r>
          </w:p>
        </w:tc>
        <w:tc>
          <w:tcPr>
            <w:tcW w:w="2410" w:type="dxa"/>
            <w:tcBorders>
              <w:top w:val="none" w:sz="0" w:space="0" w:color="auto"/>
              <w:bottom w:val="none" w:sz="0" w:space="0" w:color="auto"/>
            </w:tcBorders>
          </w:tcPr>
          <w:p w14:paraId="169092A9" w14:textId="77777777" w:rsidR="00703A7B" w:rsidRDefault="00703A7B"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387" w:type="dxa"/>
            <w:tcBorders>
              <w:top w:val="none" w:sz="0" w:space="0" w:color="auto"/>
              <w:bottom w:val="none" w:sz="0" w:space="0" w:color="auto"/>
            </w:tcBorders>
          </w:tcPr>
          <w:p w14:paraId="43572E3E" w14:textId="5D383888" w:rsidR="00703A7B" w:rsidRPr="0016559B" w:rsidRDefault="006D4717" w:rsidP="00F92CC7">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6D4717">
              <w:rPr>
                <w:rFonts w:cs="Arial"/>
              </w:rPr>
              <w:t>The main self-regulatory institutions in Spain's communications and media sectors are the</w:t>
            </w:r>
            <w:r w:rsidR="007728B9">
              <w:rPr>
                <w:rFonts w:cs="Arial"/>
              </w:rPr>
              <w:t xml:space="preserve"> </w:t>
            </w:r>
            <w:r w:rsidR="007728B9">
              <w:t>Commission on Arbitration, Complaints, and Journalism Ethics</w:t>
            </w:r>
            <w:r w:rsidRPr="006D4717">
              <w:rPr>
                <w:rFonts w:cs="Arial"/>
              </w:rPr>
              <w:t xml:space="preserve"> </w:t>
            </w:r>
            <w:r w:rsidR="007728B9">
              <w:rPr>
                <w:rFonts w:cs="Arial"/>
              </w:rPr>
              <w:t>(</w:t>
            </w:r>
            <w:r w:rsidRPr="006D4717">
              <w:rPr>
                <w:rFonts w:cs="Arial"/>
              </w:rPr>
              <w:t>Comisión de Arbitraje, Quejas y Deontología del Periodismo</w:t>
            </w:r>
            <w:r w:rsidR="007728B9">
              <w:rPr>
                <w:rFonts w:cs="Arial"/>
              </w:rPr>
              <w:t>)</w:t>
            </w:r>
            <w:r w:rsidRPr="006D4717">
              <w:rPr>
                <w:rFonts w:cs="Arial"/>
              </w:rPr>
              <w:t xml:space="preserve"> and AUTOCONTROL. These bodies </w:t>
            </w:r>
            <w:r w:rsidR="007728B9">
              <w:rPr>
                <w:rFonts w:cs="Arial"/>
              </w:rPr>
              <w:t>protect</w:t>
            </w:r>
            <w:r w:rsidRPr="006D4717">
              <w:rPr>
                <w:rFonts w:cs="Arial"/>
              </w:rPr>
              <w:t xml:space="preserve"> ethical standards and</w:t>
            </w:r>
            <w:r w:rsidR="007728B9">
              <w:rPr>
                <w:rFonts w:cs="Arial"/>
              </w:rPr>
              <w:t xml:space="preserve"> promote</w:t>
            </w:r>
            <w:r w:rsidRPr="006D4717">
              <w:rPr>
                <w:rFonts w:cs="Arial"/>
              </w:rPr>
              <w:t xml:space="preserve"> responsible practices in journalism and advertising, respectively</w:t>
            </w:r>
            <w:r w:rsidR="007728B9">
              <w:rPr>
                <w:rFonts w:cs="Arial"/>
              </w:rPr>
              <w:t>.</w:t>
            </w:r>
          </w:p>
        </w:tc>
      </w:tr>
      <w:tr w:rsidR="000F492D" w14:paraId="5DB1AFB3" w14:textId="77777777" w:rsidTr="6BF39E6C">
        <w:trPr>
          <w:trHeight w:val="170"/>
        </w:trPr>
        <w:tc>
          <w:tcPr>
            <w:cnfStyle w:val="001000000000" w:firstRow="0" w:lastRow="0" w:firstColumn="1" w:lastColumn="0" w:oddVBand="0" w:evenVBand="0" w:oddHBand="0" w:evenHBand="0" w:firstRowFirstColumn="0" w:firstRowLastColumn="0" w:lastRowFirstColumn="0" w:lastRowLastColumn="0"/>
            <w:tcW w:w="645" w:type="dxa"/>
          </w:tcPr>
          <w:p w14:paraId="49D8941A" w14:textId="77777777" w:rsidR="00703A7B" w:rsidRPr="00203503" w:rsidRDefault="00D97AF7" w:rsidP="00F92CC7">
            <w:pPr>
              <w:spacing w:line="276" w:lineRule="auto"/>
              <w:rPr>
                <w:rFonts w:cs="Arial"/>
                <w:color w:val="747474" w:themeColor="background2" w:themeShade="80"/>
              </w:rPr>
            </w:pPr>
            <w:r>
              <w:rPr>
                <w:rFonts w:cs="Arial"/>
                <w:color w:val="747474" w:themeColor="background2" w:themeShade="80"/>
              </w:rPr>
              <w:t>3.6</w:t>
            </w:r>
          </w:p>
        </w:tc>
        <w:tc>
          <w:tcPr>
            <w:tcW w:w="2332" w:type="dxa"/>
          </w:tcPr>
          <w:p w14:paraId="14B69772" w14:textId="77777777" w:rsidR="00703A7B"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t xml:space="preserve">Regulatory Environment </w:t>
            </w:r>
            <w:r>
              <w:br/>
            </w:r>
            <w:r w:rsidRPr="00C66C6A">
              <w:rPr>
                <w:b w:val="0"/>
                <w:bCs w:val="0"/>
              </w:rPr>
              <w:t>(2020-2025)</w:t>
            </w:r>
          </w:p>
        </w:tc>
        <w:tc>
          <w:tcPr>
            <w:tcW w:w="2410" w:type="dxa"/>
          </w:tcPr>
          <w:p w14:paraId="3BDCAD68" w14:textId="77777777" w:rsidR="00703A7B" w:rsidRDefault="00703A7B"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387" w:type="dxa"/>
          </w:tcPr>
          <w:p w14:paraId="1BF54314" w14:textId="1B869906" w:rsidR="00D913B0" w:rsidRPr="00D913B0" w:rsidRDefault="00D97AF7" w:rsidP="00D913B0">
            <w:pPr>
              <w:cnfStyle w:val="000000000000" w:firstRow="0" w:lastRow="0" w:firstColumn="0" w:lastColumn="0" w:oddVBand="0" w:evenVBand="0" w:oddHBand="0" w:evenHBand="0" w:firstRowFirstColumn="0" w:firstRowLastColumn="0" w:lastRowFirstColumn="0" w:lastRowLastColumn="0"/>
            </w:pPr>
            <w:r w:rsidRPr="00D913B0">
              <w:rPr>
                <w:iCs/>
              </w:rPr>
              <w:t>The new</w:t>
            </w:r>
            <w:r w:rsidRPr="00D913B0">
              <w:rPr>
                <w:i/>
              </w:rPr>
              <w:t xml:space="preserve"> General Law of Audiovisual Communication </w:t>
            </w:r>
            <w:r w:rsidRPr="00D913B0">
              <w:t>(</w:t>
            </w:r>
            <w:hyperlink r:id="rId66" w:history="1">
              <w:r w:rsidRPr="00D913B0">
                <w:rPr>
                  <w:rStyle w:val="Hyperlink"/>
                </w:rPr>
                <w:t>BOE, 2022a</w:t>
              </w:r>
            </w:hyperlink>
            <w:r w:rsidRPr="00D913B0">
              <w:t xml:space="preserve">) regulates audiovisual communication at the state level, </w:t>
            </w:r>
            <w:r w:rsidR="007728B9">
              <w:t>and</w:t>
            </w:r>
            <w:r w:rsidRPr="00D913B0">
              <w:t xml:space="preserve"> establish</w:t>
            </w:r>
            <w:r w:rsidR="007728B9">
              <w:t>es</w:t>
            </w:r>
            <w:r w:rsidRPr="00D913B0">
              <w:t xml:space="preserve"> certain rules applicable to the provision of the video exchange service through a platform. Likewise, basic rules will be established for the provision of the regional and local audiovisual communication service, without prejudice to the powers of the Autonomous Communities and Local Entities in their respective areas.</w:t>
            </w:r>
          </w:p>
          <w:p w14:paraId="2B1B1701" w14:textId="77777777" w:rsidR="00D913B0" w:rsidRPr="00D913B0" w:rsidRDefault="00D913B0" w:rsidP="00D913B0">
            <w:pPr>
              <w:cnfStyle w:val="000000000000" w:firstRow="0" w:lastRow="0" w:firstColumn="0" w:lastColumn="0" w:oddVBand="0" w:evenVBand="0" w:oddHBand="0" w:evenHBand="0" w:firstRowFirstColumn="0" w:firstRowLastColumn="0" w:lastRowFirstColumn="0" w:lastRowLastColumn="0"/>
            </w:pPr>
          </w:p>
          <w:p w14:paraId="494E58CE" w14:textId="080FBBFE" w:rsidR="00703A7B" w:rsidRPr="00D913B0" w:rsidRDefault="00D97AF7" w:rsidP="00154BCE">
            <w:pPr>
              <w:cnfStyle w:val="000000000000" w:firstRow="0" w:lastRow="0" w:firstColumn="0" w:lastColumn="0" w:oddVBand="0" w:evenVBand="0" w:oddHBand="0" w:evenHBand="0" w:firstRowFirstColumn="0" w:firstRowLastColumn="0" w:lastRowFirstColumn="0" w:lastRowLastColumn="0"/>
            </w:pPr>
            <w:r w:rsidRPr="00D913B0">
              <w:rPr>
                <w:lang w:val="en-US"/>
              </w:rPr>
              <w:t>The Royal Decree-Law 24/2021 (</w:t>
            </w:r>
            <w:hyperlink r:id="rId67" w:history="1">
              <w:r w:rsidRPr="00D716EB">
                <w:rPr>
                  <w:rStyle w:val="Hyperlink"/>
                  <w:lang w:val="en-US"/>
                </w:rPr>
                <w:t>BOE, 2021</w:t>
              </w:r>
            </w:hyperlink>
            <w:r w:rsidRPr="00D913B0">
              <w:rPr>
                <w:lang w:val="en-US"/>
              </w:rPr>
              <w:t xml:space="preserve">) transposing European Union directives on guaranteed bonds, cross-border distribution of collective investment undertakings, open data and reuse of public sector information, exercise of rights copyright and related rights applicable to certain online transmissions and retransmissions of radio and television programs, temporary exemptions for certain imports and supplies, of consumers and for the promotion of clean and energy efficient road transport vehicles. </w:t>
            </w:r>
            <w:r w:rsidRPr="00D913B0">
              <w:t xml:space="preserve">The purpose of this royal decree-law is to regulate the system for issuing and supervising covered bonds, establishing their characteristics, reporting obligations and investor protection mechanisms. Specifically, according to Article 73 'Use of protected content by service providers to share </w:t>
            </w:r>
            <w:r w:rsidRPr="00D913B0">
              <w:lastRenderedPageBreak/>
              <w:t>content online', the platforms will be responsible for unauthorised acts of communication to the public, including the provision of works and other services protected by intellectual property rights. This implies a new regulation that focuses on those who could previously be considered mere intermediaries and who will now run the risk of receiving sanctions.</w:t>
            </w:r>
          </w:p>
        </w:tc>
      </w:tr>
    </w:tbl>
    <w:p w14:paraId="04AE5034" w14:textId="77777777" w:rsidR="004F0B6F" w:rsidRPr="004F0B6F" w:rsidRDefault="00D97AF7" w:rsidP="004F0B6F">
      <w:pPr>
        <w:pStyle w:val="SubtitleH2"/>
        <w:rPr>
          <w:rFonts w:eastAsiaTheme="minorEastAsia" w:cs="Times New Roman (Body CS)"/>
          <w:iCs/>
          <w:color w:val="000000" w:themeColor="text1"/>
          <w:sz w:val="24"/>
          <w:szCs w:val="24"/>
          <w:shd w:val="clear" w:color="auto" w:fill="auto"/>
        </w:rPr>
      </w:pPr>
      <w:r w:rsidRPr="004F0B6F">
        <w:lastRenderedPageBreak/>
        <w:t>Sections 4-5 Advertising Framework</w:t>
      </w:r>
    </w:p>
    <w:p w14:paraId="2E479D21" w14:textId="77777777" w:rsidR="006C07EB" w:rsidRPr="005F3475" w:rsidRDefault="00D97AF7" w:rsidP="00955813">
      <w:pPr>
        <w:pStyle w:val="SectionHead"/>
      </w:pPr>
      <w:bookmarkStart w:id="8" w:name="_Toc170136344"/>
      <w:r w:rsidRPr="005F3475">
        <w:t>Advertising:  Legal and Regulatory Framework</w:t>
      </w:r>
      <w:bookmarkEnd w:id="8"/>
      <w:r w:rsidRPr="005F3475">
        <w:t xml:space="preserve"> </w:t>
      </w:r>
    </w:p>
    <w:tbl>
      <w:tblPr>
        <w:tblStyle w:val="PlainTable2"/>
        <w:tblW w:w="10888"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114"/>
        <w:gridCol w:w="737"/>
        <w:gridCol w:w="114"/>
        <w:gridCol w:w="2012"/>
        <w:gridCol w:w="114"/>
        <w:gridCol w:w="2013"/>
        <w:gridCol w:w="114"/>
        <w:gridCol w:w="5556"/>
        <w:gridCol w:w="114"/>
      </w:tblGrid>
      <w:tr w:rsidR="000F492D" w14:paraId="1ABD4699" w14:textId="77777777" w:rsidTr="33F03C23">
        <w:trPr>
          <w:gridAfter w:val="1"/>
          <w:cnfStyle w:val="100000000000" w:firstRow="1" w:lastRow="0" w:firstColumn="0" w:lastColumn="0" w:oddVBand="0" w:evenVBand="0" w:oddHBand="0" w:evenHBand="0" w:firstRowFirstColumn="0" w:firstRowLastColumn="0" w:lastRowFirstColumn="0" w:lastRowLastColumn="0"/>
          <w:wAfter w:w="114" w:type="dxa"/>
          <w:trHeight w:val="170"/>
          <w:tblHeader/>
        </w:trPr>
        <w:tc>
          <w:tcPr>
            <w:cnfStyle w:val="001000000000" w:firstRow="0" w:lastRow="0" w:firstColumn="1" w:lastColumn="0" w:oddVBand="0" w:evenVBand="0" w:oddHBand="0" w:evenHBand="0" w:firstRowFirstColumn="0" w:firstRowLastColumn="0" w:lastRowFirstColumn="0" w:lastRowLastColumn="0"/>
            <w:tcW w:w="851" w:type="dxa"/>
            <w:gridSpan w:val="2"/>
            <w:tcBorders>
              <w:bottom w:val="none" w:sz="0" w:space="0" w:color="auto"/>
            </w:tcBorders>
          </w:tcPr>
          <w:p w14:paraId="0C63C459" w14:textId="77777777" w:rsidR="006C07EB" w:rsidRPr="00424EE4" w:rsidRDefault="00D97AF7" w:rsidP="00F92CC7">
            <w:pPr>
              <w:pStyle w:val="Tableheadings"/>
            </w:pPr>
            <w:r w:rsidRPr="00424EE4">
              <w:rPr>
                <w:b/>
                <w:bCs/>
              </w:rPr>
              <w:t>Item</w:t>
            </w:r>
          </w:p>
        </w:tc>
        <w:tc>
          <w:tcPr>
            <w:tcW w:w="2126" w:type="dxa"/>
            <w:gridSpan w:val="2"/>
            <w:tcBorders>
              <w:bottom w:val="none" w:sz="0" w:space="0" w:color="auto"/>
            </w:tcBorders>
          </w:tcPr>
          <w:p w14:paraId="6A703723" w14:textId="77777777" w:rsidR="006C07EB" w:rsidRPr="00424EE4" w:rsidRDefault="00D97AF7" w:rsidP="007D344D">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Subject</w:t>
            </w:r>
          </w:p>
        </w:tc>
        <w:tc>
          <w:tcPr>
            <w:tcW w:w="2127" w:type="dxa"/>
            <w:gridSpan w:val="2"/>
            <w:tcBorders>
              <w:bottom w:val="none" w:sz="0" w:space="0" w:color="auto"/>
            </w:tcBorders>
          </w:tcPr>
          <w:p w14:paraId="6E002B61" w14:textId="77777777" w:rsidR="006C07EB"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 xml:space="preserve">Classification </w:t>
            </w:r>
          </w:p>
        </w:tc>
        <w:tc>
          <w:tcPr>
            <w:tcW w:w="5670" w:type="dxa"/>
            <w:gridSpan w:val="2"/>
            <w:tcBorders>
              <w:bottom w:val="none" w:sz="0" w:space="0" w:color="auto"/>
            </w:tcBorders>
          </w:tcPr>
          <w:p w14:paraId="178D1723" w14:textId="77777777" w:rsidR="006C07EB"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Description</w:t>
            </w:r>
          </w:p>
        </w:tc>
      </w:tr>
      <w:tr w:rsidR="000F492D" w14:paraId="66FEDE64" w14:textId="77777777" w:rsidTr="33F03C23">
        <w:trPr>
          <w:gridAfter w:val="1"/>
          <w:cnfStyle w:val="000000100000" w:firstRow="0" w:lastRow="0" w:firstColumn="0" w:lastColumn="0" w:oddVBand="0" w:evenVBand="0" w:oddHBand="1" w:evenHBand="0" w:firstRowFirstColumn="0" w:firstRowLastColumn="0" w:lastRowFirstColumn="0" w:lastRowLastColumn="0"/>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Borders>
              <w:top w:val="none" w:sz="0" w:space="0" w:color="auto"/>
              <w:bottom w:val="none" w:sz="0" w:space="0" w:color="auto"/>
            </w:tcBorders>
          </w:tcPr>
          <w:p w14:paraId="6A4A2DDA" w14:textId="77777777" w:rsidR="009721DE" w:rsidRPr="00203503" w:rsidRDefault="00D97AF7" w:rsidP="009721DE">
            <w:pPr>
              <w:spacing w:line="276" w:lineRule="auto"/>
              <w:rPr>
                <w:rFonts w:cs="Arial"/>
                <w:color w:val="747474" w:themeColor="background2" w:themeShade="80"/>
              </w:rPr>
            </w:pPr>
            <w:r>
              <w:rPr>
                <w:rFonts w:cs="Arial"/>
                <w:color w:val="747474" w:themeColor="background2" w:themeShade="80"/>
              </w:rPr>
              <w:t>4.1</w:t>
            </w:r>
          </w:p>
        </w:tc>
        <w:tc>
          <w:tcPr>
            <w:tcW w:w="2126" w:type="dxa"/>
            <w:gridSpan w:val="2"/>
            <w:tcBorders>
              <w:top w:val="none" w:sz="0" w:space="0" w:color="auto"/>
              <w:bottom w:val="none" w:sz="0" w:space="0" w:color="auto"/>
            </w:tcBorders>
          </w:tcPr>
          <w:p w14:paraId="3ACDEEF8" w14:textId="77777777" w:rsidR="009721DE" w:rsidRPr="000004F6" w:rsidRDefault="00D97AF7" w:rsidP="009721DE">
            <w:pPr>
              <w:pStyle w:val="Subjectcolumntext"/>
              <w:cnfStyle w:val="000000100000" w:firstRow="0" w:lastRow="0" w:firstColumn="0" w:lastColumn="0" w:oddVBand="0" w:evenVBand="0" w:oddHBand="1" w:evenHBand="0" w:firstRowFirstColumn="0" w:firstRowLastColumn="0" w:lastRowFirstColumn="0" w:lastRowLastColumn="0"/>
            </w:pPr>
            <w:r w:rsidRPr="00AA6CC5">
              <w:t xml:space="preserve">How is advertising regulated in </w:t>
            </w:r>
            <w:r w:rsidRPr="00C66C6A">
              <w:rPr>
                <w:b w:val="0"/>
                <w:bCs w:val="0"/>
              </w:rPr>
              <w:t>[Country]</w:t>
            </w:r>
            <w:r w:rsidRPr="00AA6CC5">
              <w:t>?</w:t>
            </w:r>
          </w:p>
        </w:tc>
        <w:tc>
          <w:tcPr>
            <w:tcW w:w="2127" w:type="dxa"/>
            <w:gridSpan w:val="2"/>
            <w:tcBorders>
              <w:top w:val="none" w:sz="0" w:space="0" w:color="auto"/>
              <w:bottom w:val="none" w:sz="0" w:space="0" w:color="auto"/>
            </w:tcBorders>
          </w:tcPr>
          <w:p w14:paraId="095573B8" w14:textId="77777777" w:rsidR="009721DE" w:rsidRPr="00745C48" w:rsidRDefault="009721DE" w:rsidP="009721DE">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gridSpan w:val="2"/>
            <w:tcBorders>
              <w:top w:val="none" w:sz="0" w:space="0" w:color="auto"/>
              <w:bottom w:val="none" w:sz="0" w:space="0" w:color="auto"/>
            </w:tcBorders>
          </w:tcPr>
          <w:p w14:paraId="2E45023B" w14:textId="2FF67A98" w:rsidR="003416EA" w:rsidRPr="003416EA" w:rsidRDefault="00D97AF7" w:rsidP="003416EA">
            <w:pPr>
              <w:cnfStyle w:val="000000100000" w:firstRow="0" w:lastRow="0" w:firstColumn="0" w:lastColumn="0" w:oddVBand="0" w:evenVBand="0" w:oddHBand="1" w:evenHBand="0" w:firstRowFirstColumn="0" w:firstRowLastColumn="0" w:lastRowFirstColumn="0" w:lastRowLastColumn="0"/>
              <w:rPr>
                <w:rFonts w:eastAsia="Calibri" w:cs="Arial"/>
              </w:rPr>
            </w:pPr>
            <w:r w:rsidRPr="33F03C23">
              <w:rPr>
                <w:rStyle w:val="normaltextrun"/>
                <w:rFonts w:eastAsia="Calibri" w:cs="Arial"/>
                <w:color w:val="000000" w:themeColor="text1"/>
              </w:rPr>
              <w:t>In Spain</w:t>
            </w:r>
            <w:r w:rsidR="3A721FFB" w:rsidRPr="33F03C23">
              <w:rPr>
                <w:rStyle w:val="normaltextrun"/>
                <w:rFonts w:eastAsia="Calibri" w:cs="Arial"/>
                <w:color w:val="000000" w:themeColor="text1"/>
              </w:rPr>
              <w:t>,</w:t>
            </w:r>
            <w:r w:rsidRPr="33F03C23">
              <w:rPr>
                <w:rStyle w:val="normaltextrun"/>
                <w:rFonts w:eastAsia="Calibri" w:cs="Arial"/>
                <w:color w:val="000000" w:themeColor="text1"/>
              </w:rPr>
              <w:t xml:space="preserve"> advertising is regulated through a combination of transposed and directly enforceable EU regulations</w:t>
            </w:r>
            <w:r w:rsidR="4AA84AAA" w:rsidRPr="33F03C23">
              <w:rPr>
                <w:rStyle w:val="normaltextrun"/>
                <w:rFonts w:eastAsia="Calibri" w:cs="Arial"/>
                <w:color w:val="000000" w:themeColor="text1"/>
              </w:rPr>
              <w:t>, national l</w:t>
            </w:r>
            <w:r w:rsidR="4AA84AAA" w:rsidRPr="33F03C23">
              <w:rPr>
                <w:rStyle w:val="normaltextrun"/>
                <w:rFonts w:eastAsia="Calibri"/>
                <w:color w:val="000000" w:themeColor="text1"/>
              </w:rPr>
              <w:t>aws</w:t>
            </w:r>
            <w:r w:rsidR="3A721FFB" w:rsidRPr="33F03C23">
              <w:rPr>
                <w:rStyle w:val="normaltextrun"/>
                <w:rFonts w:eastAsia="Calibri"/>
                <w:color w:val="000000" w:themeColor="text1"/>
              </w:rPr>
              <w:t>,</w:t>
            </w:r>
            <w:r w:rsidR="4AA84AAA" w:rsidRPr="33F03C23">
              <w:rPr>
                <w:rStyle w:val="normaltextrun"/>
                <w:rFonts w:eastAsia="Calibri"/>
                <w:color w:val="000000" w:themeColor="text1"/>
              </w:rPr>
              <w:t xml:space="preserve"> and self-regulatory codes and guidelines</w:t>
            </w:r>
            <w:r w:rsidRPr="33F03C23">
              <w:rPr>
                <w:rStyle w:val="normaltextrun"/>
                <w:rFonts w:eastAsia="Calibri" w:cs="Arial"/>
                <w:color w:val="000000" w:themeColor="text1"/>
              </w:rPr>
              <w:t>.</w:t>
            </w:r>
          </w:p>
          <w:p w14:paraId="5C092E6E" w14:textId="20F6D7D4" w:rsidR="00326E39" w:rsidRDefault="00326E39" w:rsidP="001B55AD">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p>
          <w:p w14:paraId="608FDB98" w14:textId="19F82BA0" w:rsidR="00326E39" w:rsidRPr="00326E39" w:rsidRDefault="00326E39" w:rsidP="00326E39">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326E39">
              <w:rPr>
                <w:rFonts w:eastAsia="Calibri" w:cs="Arial"/>
                <w:color w:val="000000" w:themeColor="text1"/>
              </w:rPr>
              <w:t>Advertising in Spain is regulated by various laws, the main one being the General Advertising Law (</w:t>
            </w:r>
            <w:hyperlink r:id="rId68" w:history="1">
              <w:r w:rsidRPr="00326E39">
                <w:rPr>
                  <w:rStyle w:val="Hyperlink"/>
                  <w:rFonts w:eastAsia="Calibri" w:cs="Arial"/>
                </w:rPr>
                <w:t>Law 34/1988, of November 11</w:t>
              </w:r>
            </w:hyperlink>
            <w:r w:rsidRPr="00326E39">
              <w:rPr>
                <w:rFonts w:eastAsia="Calibri" w:cs="Arial"/>
                <w:color w:val="000000" w:themeColor="text1"/>
              </w:rPr>
              <w:t>)</w:t>
            </w:r>
            <w:r w:rsidR="0077205F">
              <w:rPr>
                <w:rFonts w:eastAsia="Calibri" w:cs="Arial"/>
                <w:color w:val="000000" w:themeColor="text1"/>
              </w:rPr>
              <w:t xml:space="preserve">, as well as </w:t>
            </w:r>
            <w:r w:rsidRPr="00326E39">
              <w:rPr>
                <w:rFonts w:eastAsia="Calibri" w:cs="Arial"/>
                <w:color w:val="000000" w:themeColor="text1"/>
              </w:rPr>
              <w:t>the Unfair Competition Law (</w:t>
            </w:r>
            <w:hyperlink r:id="rId69" w:history="1">
              <w:r w:rsidRPr="00326E39">
                <w:rPr>
                  <w:rStyle w:val="Hyperlink"/>
                  <w:rFonts w:eastAsia="Calibri" w:cs="Arial"/>
                </w:rPr>
                <w:t>Law 3/1991 of January 10</w:t>
              </w:r>
            </w:hyperlink>
            <w:r>
              <w:rPr>
                <w:rFonts w:eastAsia="Calibri" w:cs="Arial"/>
                <w:color w:val="000000" w:themeColor="text1"/>
              </w:rPr>
              <w:t>)</w:t>
            </w:r>
            <w:r w:rsidR="0077205F">
              <w:rPr>
                <w:rFonts w:eastAsia="Calibri" w:cs="Arial"/>
                <w:color w:val="000000" w:themeColor="text1"/>
              </w:rPr>
              <w:t>;</w:t>
            </w:r>
            <w:r w:rsidRPr="00326E39">
              <w:rPr>
                <w:rFonts w:eastAsia="Calibri" w:cs="Arial"/>
                <w:color w:val="000000" w:themeColor="text1"/>
              </w:rPr>
              <w:t xml:space="preserve"> the General Law for the protection and </w:t>
            </w:r>
            <w:r w:rsidR="0077205F" w:rsidRPr="00326E39">
              <w:rPr>
                <w:rFonts w:eastAsia="Calibri" w:cs="Arial"/>
                <w:color w:val="000000" w:themeColor="text1"/>
              </w:rPr>
              <w:t>defence</w:t>
            </w:r>
            <w:r w:rsidRPr="00326E39">
              <w:rPr>
                <w:rFonts w:eastAsia="Calibri" w:cs="Arial"/>
                <w:color w:val="000000" w:themeColor="text1"/>
              </w:rPr>
              <w:t xml:space="preserve"> of Consumers and Users (</w:t>
            </w:r>
            <w:hyperlink r:id="rId70" w:history="1">
              <w:r w:rsidRPr="00326E39">
                <w:rPr>
                  <w:rStyle w:val="Hyperlink"/>
                  <w:rFonts w:eastAsia="Calibri" w:cs="Arial"/>
                </w:rPr>
                <w:t>Royal Legislative Decree 1/2007, of November 16</w:t>
              </w:r>
            </w:hyperlink>
            <w:r w:rsidRPr="00326E39">
              <w:rPr>
                <w:rFonts w:eastAsia="Calibri" w:cs="Arial"/>
                <w:color w:val="000000" w:themeColor="text1"/>
              </w:rPr>
              <w:t>)</w:t>
            </w:r>
            <w:r w:rsidR="0077205F">
              <w:rPr>
                <w:rFonts w:eastAsia="Calibri" w:cs="Arial"/>
                <w:color w:val="000000" w:themeColor="text1"/>
              </w:rPr>
              <w:t>;</w:t>
            </w:r>
            <w:r w:rsidRPr="00326E39">
              <w:rPr>
                <w:rFonts w:eastAsia="Calibri" w:cs="Arial"/>
                <w:color w:val="000000" w:themeColor="text1"/>
              </w:rPr>
              <w:t xml:space="preserve"> the General Law of Audiovisual Communicatio</w:t>
            </w:r>
            <w:r>
              <w:rPr>
                <w:rFonts w:eastAsia="Calibri" w:cs="Arial"/>
                <w:color w:val="000000" w:themeColor="text1"/>
              </w:rPr>
              <w:t>n (</w:t>
            </w:r>
            <w:hyperlink r:id="rId71" w:history="1">
              <w:r w:rsidRPr="00326E39">
                <w:rPr>
                  <w:rStyle w:val="Hyperlink"/>
                  <w:rFonts w:eastAsia="Calibri" w:cs="Arial"/>
                </w:rPr>
                <w:t>Law 13/2022 of July 7</w:t>
              </w:r>
            </w:hyperlink>
            <w:r w:rsidRPr="00326E39">
              <w:rPr>
                <w:rFonts w:eastAsia="Calibri" w:cs="Arial"/>
                <w:color w:val="000000" w:themeColor="text1"/>
              </w:rPr>
              <w:t>)</w:t>
            </w:r>
            <w:r w:rsidR="0077205F">
              <w:rPr>
                <w:rFonts w:eastAsia="Calibri" w:cs="Arial"/>
                <w:color w:val="000000" w:themeColor="text1"/>
              </w:rPr>
              <w:t>;</w:t>
            </w:r>
            <w:r w:rsidRPr="00326E39">
              <w:rPr>
                <w:rFonts w:eastAsia="Calibri" w:cs="Arial"/>
                <w:color w:val="000000" w:themeColor="text1"/>
              </w:rPr>
              <w:t xml:space="preserve"> the Law on the Protection of Personal Data and Guarantee of Digital Rights (</w:t>
            </w:r>
            <w:hyperlink r:id="rId72" w:history="1">
              <w:r w:rsidRPr="00326E39">
                <w:rPr>
                  <w:rStyle w:val="Hyperlink"/>
                  <w:rFonts w:eastAsia="Calibri" w:cs="Arial"/>
                </w:rPr>
                <w:t>Organic Law 3/2018, of December 5</w:t>
              </w:r>
            </w:hyperlink>
            <w:r w:rsidRPr="00326E39">
              <w:rPr>
                <w:rFonts w:eastAsia="Calibri" w:cs="Arial"/>
                <w:color w:val="000000" w:themeColor="text1"/>
              </w:rPr>
              <w:t>)</w:t>
            </w:r>
            <w:r w:rsidR="0077205F">
              <w:rPr>
                <w:rFonts w:eastAsia="Calibri" w:cs="Arial"/>
                <w:color w:val="000000" w:themeColor="text1"/>
              </w:rPr>
              <w:t>;</w:t>
            </w:r>
            <w:r w:rsidRPr="00326E39">
              <w:rPr>
                <w:rFonts w:eastAsia="Calibri" w:cs="Arial"/>
                <w:color w:val="000000" w:themeColor="text1"/>
              </w:rPr>
              <w:t xml:space="preserve"> and the Law on Information Society Services and Electronic Commerce (</w:t>
            </w:r>
            <w:hyperlink r:id="rId73" w:history="1">
              <w:r w:rsidRPr="00326E39">
                <w:rPr>
                  <w:rStyle w:val="Hyperlink"/>
                  <w:rFonts w:eastAsia="Calibri" w:cs="Arial"/>
                </w:rPr>
                <w:t>Law 34/2002 , of July 11</w:t>
              </w:r>
            </w:hyperlink>
            <w:r>
              <w:rPr>
                <w:rFonts w:eastAsia="Calibri" w:cs="Arial"/>
                <w:color w:val="000000" w:themeColor="text1"/>
              </w:rPr>
              <w:t>)</w:t>
            </w:r>
            <w:r w:rsidRPr="00326E39">
              <w:rPr>
                <w:rFonts w:eastAsia="Calibri" w:cs="Arial"/>
                <w:color w:val="000000" w:themeColor="text1"/>
              </w:rPr>
              <w:t>.</w:t>
            </w:r>
          </w:p>
          <w:p w14:paraId="2BC15304" w14:textId="77777777" w:rsidR="00326E39" w:rsidRDefault="00326E39" w:rsidP="00326E39">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326E39">
              <w:rPr>
                <w:rFonts w:eastAsia="Calibri" w:cs="Arial"/>
                <w:color w:val="000000" w:themeColor="text1"/>
              </w:rPr>
              <w:t>In addition, there are specific laws that regulate advertising in specific industrial sectors such as tobacco, alcoholic beverages, food or toys, mainly</w:t>
            </w:r>
            <w:r>
              <w:rPr>
                <w:rFonts w:eastAsia="Calibri" w:cs="Arial"/>
                <w:color w:val="000000" w:themeColor="text1"/>
              </w:rPr>
              <w:t>.</w:t>
            </w:r>
          </w:p>
          <w:p w14:paraId="6DAED3C3" w14:textId="6F23C436" w:rsidR="009721DE" w:rsidRPr="009721DE" w:rsidRDefault="00326E39" w:rsidP="00326E39">
            <w:pPr>
              <w:cnfStyle w:val="000000100000" w:firstRow="0" w:lastRow="0" w:firstColumn="0" w:lastColumn="0" w:oddVBand="0" w:evenVBand="0" w:oddHBand="1" w:evenHBand="0" w:firstRowFirstColumn="0" w:firstRowLastColumn="0" w:lastRowFirstColumn="0" w:lastRowLastColumn="0"/>
              <w:rPr>
                <w:rFonts w:cs="Arial"/>
              </w:rPr>
            </w:pPr>
            <w:r w:rsidRPr="00326E39">
              <w:rPr>
                <w:rFonts w:eastAsia="Calibri" w:cs="Arial"/>
                <w:color w:val="000000" w:themeColor="text1"/>
              </w:rPr>
              <w:t xml:space="preserve">All the laws that regulate the advertising sector in Spain can be consulted in the </w:t>
            </w:r>
            <w:hyperlink r:id="rId74" w:history="1">
              <w:r w:rsidRPr="00326E39">
                <w:rPr>
                  <w:rStyle w:val="Hyperlink"/>
                  <w:rFonts w:eastAsia="Calibri" w:cs="Arial"/>
                </w:rPr>
                <w:t>Advertising Law Code</w:t>
              </w:r>
            </w:hyperlink>
            <w:r w:rsidRPr="00326E39">
              <w:rPr>
                <w:rFonts w:eastAsia="Calibri" w:cs="Arial"/>
                <w:color w:val="000000" w:themeColor="text1"/>
              </w:rPr>
              <w:t>.</w:t>
            </w:r>
          </w:p>
        </w:tc>
      </w:tr>
      <w:tr w:rsidR="000F492D" w14:paraId="4437D728" w14:textId="77777777" w:rsidTr="33F03C23">
        <w:trPr>
          <w:gridAfter w:val="1"/>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5AA69A96" w14:textId="77777777" w:rsidR="009721DE" w:rsidRPr="00203503" w:rsidRDefault="00D97AF7" w:rsidP="009721DE">
            <w:pPr>
              <w:spacing w:line="276" w:lineRule="auto"/>
              <w:rPr>
                <w:rFonts w:cs="Arial"/>
                <w:color w:val="3A3A3A" w:themeColor="background2" w:themeShade="40"/>
              </w:rPr>
            </w:pPr>
            <w:r>
              <w:rPr>
                <w:rFonts w:cs="Arial"/>
                <w:color w:val="747474" w:themeColor="background2" w:themeShade="80"/>
              </w:rPr>
              <w:t>4.2</w:t>
            </w:r>
          </w:p>
        </w:tc>
        <w:tc>
          <w:tcPr>
            <w:tcW w:w="2126" w:type="dxa"/>
            <w:gridSpan w:val="2"/>
          </w:tcPr>
          <w:p w14:paraId="44855AC9" w14:textId="77777777" w:rsidR="009721DE" w:rsidRDefault="00D97AF7" w:rsidP="009721DE">
            <w:pPr>
              <w:pStyle w:val="Subjectcolumntext"/>
              <w:cnfStyle w:val="000000000000" w:firstRow="0" w:lastRow="0" w:firstColumn="0" w:lastColumn="0" w:oddVBand="0" w:evenVBand="0" w:oddHBand="0" w:evenHBand="0" w:firstRowFirstColumn="0" w:firstRowLastColumn="0" w:lastRowFirstColumn="0" w:lastRowLastColumn="0"/>
            </w:pPr>
            <w:r w:rsidRPr="00A752F0">
              <w:t>What types of communications are deemed ‘advertising’? How is this determined?</w:t>
            </w:r>
          </w:p>
        </w:tc>
        <w:tc>
          <w:tcPr>
            <w:tcW w:w="2127" w:type="dxa"/>
            <w:gridSpan w:val="2"/>
          </w:tcPr>
          <w:p w14:paraId="4AF8B93F" w14:textId="77777777" w:rsidR="009721DE" w:rsidRDefault="00D97AF7" w:rsidP="009721DE">
            <w:pPr>
              <w:pStyle w:val="Classificationcolumntext"/>
              <w:cnfStyle w:val="000000000000" w:firstRow="0" w:lastRow="0" w:firstColumn="0" w:lastColumn="0" w:oddVBand="0" w:evenVBand="0" w:oddHBand="0" w:evenHBand="0" w:firstRowFirstColumn="0" w:firstRowLastColumn="0" w:lastRowFirstColumn="0" w:lastRowLastColumn="0"/>
            </w:pPr>
            <w:r w:rsidRPr="001B55AD">
              <w:rPr>
                <w:color w:val="000000" w:themeColor="text1"/>
              </w:rPr>
              <w:t>All forms of commercial communications</w:t>
            </w:r>
          </w:p>
        </w:tc>
        <w:tc>
          <w:tcPr>
            <w:tcW w:w="5670" w:type="dxa"/>
            <w:gridSpan w:val="2"/>
          </w:tcPr>
          <w:p w14:paraId="42E772C3" w14:textId="12D7B2C0" w:rsidR="009721DE" w:rsidRDefault="00D97AF7" w:rsidP="00623CAD">
            <w:pPr>
              <w:cnfStyle w:val="000000000000" w:firstRow="0" w:lastRow="0" w:firstColumn="0" w:lastColumn="0" w:oddVBand="0" w:evenVBand="0" w:oddHBand="0" w:evenHBand="0" w:firstRowFirstColumn="0" w:firstRowLastColumn="0" w:lastRowFirstColumn="0" w:lastRowLastColumn="0"/>
            </w:pPr>
            <w:r>
              <w:t xml:space="preserve">Under Article 2 of the Spanish </w:t>
            </w:r>
            <w:r>
              <w:rPr>
                <w:i/>
              </w:rPr>
              <w:t>General Advertising Act</w:t>
            </w:r>
            <w:r>
              <w:t xml:space="preserve"> (</w:t>
            </w:r>
            <w:r>
              <w:rPr>
                <w:i/>
              </w:rPr>
              <w:t>Ley 34/1988, de 11 de noviembre, General de Publicidad</w:t>
            </w:r>
            <w:r>
              <w:t>) (</w:t>
            </w:r>
            <w:hyperlink r:id="rId75" w:history="1">
              <w:r>
                <w:rPr>
                  <w:color w:val="1155CC"/>
                  <w:u w:val="single"/>
                </w:rPr>
                <w:t>BOE, 2023a.</w:t>
              </w:r>
            </w:hyperlink>
            <w:r>
              <w:t>)</w:t>
            </w:r>
            <w:r w:rsidR="0077205F">
              <w:t>,</w:t>
            </w:r>
            <w:r>
              <w:t xml:space="preserve"> advertising is any form of communication made by a natural or legal person, public or private, in the exercise of a trade, business, craft or profession in order to promote directly or indirectly the contracting of real or personal property, services, rights</w:t>
            </w:r>
            <w:r w:rsidR="0077205F">
              <w:t xml:space="preserve">, </w:t>
            </w:r>
            <w:r>
              <w:t>and obligations.</w:t>
            </w:r>
          </w:p>
          <w:p w14:paraId="442A8A9E" w14:textId="77777777" w:rsidR="00914D43" w:rsidRDefault="00914D43" w:rsidP="00623CAD">
            <w:pPr>
              <w:cnfStyle w:val="000000000000" w:firstRow="0" w:lastRow="0" w:firstColumn="0" w:lastColumn="0" w:oddVBand="0" w:evenVBand="0" w:oddHBand="0" w:evenHBand="0" w:firstRowFirstColumn="0" w:firstRowLastColumn="0" w:lastRowFirstColumn="0" w:lastRowLastColumn="0"/>
            </w:pPr>
          </w:p>
          <w:p w14:paraId="2F1498D4" w14:textId="77F1313C" w:rsidR="00914D43" w:rsidRDefault="00D97AF7" w:rsidP="00623CAD">
            <w:pPr>
              <w:cnfStyle w:val="000000000000" w:firstRow="0" w:lastRow="0" w:firstColumn="0" w:lastColumn="0" w:oddVBand="0" w:evenVBand="0" w:oddHBand="0" w:evenHBand="0" w:firstRowFirstColumn="0" w:firstRowLastColumn="0" w:lastRowFirstColumn="0" w:lastRowLastColumn="0"/>
              <w:rPr>
                <w:rFonts w:cs="Arial"/>
              </w:rPr>
            </w:pPr>
            <w:r w:rsidRPr="0040766E">
              <w:rPr>
                <w:rFonts w:eastAsia="Calibri" w:cs="Arial"/>
                <w:color w:val="000000" w:themeColor="text1"/>
              </w:rPr>
              <w:t xml:space="preserve">In the EU, the Misleading and Comparative Advertising Directive harmonises EU countries' rules on comparative </w:t>
            </w:r>
            <w:r w:rsidRPr="0040766E">
              <w:rPr>
                <w:rFonts w:eastAsia="Calibri" w:cs="Arial"/>
                <w:color w:val="000000" w:themeColor="text1"/>
              </w:rPr>
              <w:lastRenderedPageBreak/>
              <w:t>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76" w:history="1">
              <w:r w:rsidRPr="0040766E">
                <w:rPr>
                  <w:rStyle w:val="Hyperlink"/>
                  <w:rFonts w:cs="Arial"/>
                </w:rPr>
                <w:t>Directive 2006/114/EC</w:t>
              </w:r>
            </w:hyperlink>
            <w:r w:rsidRPr="0040766E">
              <w:rPr>
                <w:rFonts w:eastAsia="Calibri" w:cs="Arial"/>
                <w:color w:val="000000" w:themeColor="text1"/>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77" w:history="1">
              <w:r w:rsidRPr="0040766E">
                <w:rPr>
                  <w:rStyle w:val="Hyperlink"/>
                  <w:rFonts w:cs="Arial"/>
                </w:rPr>
                <w:t>Directive 2006/114/EC</w:t>
              </w:r>
            </w:hyperlink>
            <w:r w:rsidRPr="0040766E">
              <w:rPr>
                <w:rFonts w:eastAsia="Calibri" w:cs="Arial"/>
                <w:color w:val="000000" w:themeColor="text1"/>
              </w:rPr>
              <w:t>), Article 2 (b)).</w:t>
            </w:r>
          </w:p>
        </w:tc>
      </w:tr>
      <w:tr w:rsidR="000F492D" w14:paraId="570C7783" w14:textId="77777777" w:rsidTr="33F03C23">
        <w:trPr>
          <w:gridAfter w:val="1"/>
          <w:cnfStyle w:val="000000100000" w:firstRow="0" w:lastRow="0" w:firstColumn="0" w:lastColumn="0" w:oddVBand="0" w:evenVBand="0" w:oddHBand="1" w:evenHBand="0" w:firstRowFirstColumn="0" w:firstRowLastColumn="0" w:lastRowFirstColumn="0" w:lastRowLastColumn="0"/>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Borders>
              <w:top w:val="none" w:sz="0" w:space="0" w:color="auto"/>
              <w:bottom w:val="none" w:sz="0" w:space="0" w:color="auto"/>
            </w:tcBorders>
          </w:tcPr>
          <w:p w14:paraId="2D45E0B7" w14:textId="77777777" w:rsidR="009721DE" w:rsidRPr="00203503" w:rsidRDefault="00D97AF7" w:rsidP="009721DE">
            <w:pPr>
              <w:spacing w:line="276" w:lineRule="auto"/>
              <w:rPr>
                <w:rFonts w:cs="Arial"/>
                <w:color w:val="747474" w:themeColor="background2" w:themeShade="80"/>
              </w:rPr>
            </w:pPr>
            <w:r>
              <w:rPr>
                <w:rFonts w:cs="Arial"/>
                <w:color w:val="747474" w:themeColor="background2" w:themeShade="80"/>
              </w:rPr>
              <w:lastRenderedPageBreak/>
              <w:t>4.3</w:t>
            </w:r>
          </w:p>
        </w:tc>
        <w:tc>
          <w:tcPr>
            <w:tcW w:w="2126" w:type="dxa"/>
            <w:gridSpan w:val="2"/>
            <w:tcBorders>
              <w:top w:val="none" w:sz="0" w:space="0" w:color="auto"/>
              <w:bottom w:val="none" w:sz="0" w:space="0" w:color="auto"/>
            </w:tcBorders>
          </w:tcPr>
          <w:p w14:paraId="6CCA9562" w14:textId="77777777" w:rsidR="009721DE" w:rsidRDefault="00D97AF7" w:rsidP="009721DE">
            <w:pPr>
              <w:pStyle w:val="Subjectcolumntext"/>
              <w:cnfStyle w:val="000000100000" w:firstRow="0" w:lastRow="0" w:firstColumn="0" w:lastColumn="0" w:oddVBand="0" w:evenVBand="0" w:oddHBand="1" w:evenHBand="0" w:firstRowFirstColumn="0" w:firstRowLastColumn="0" w:lastRowFirstColumn="0" w:lastRowLastColumn="0"/>
            </w:pPr>
            <w:r w:rsidRPr="00D9303F">
              <w:t>Is there a general definition, or many sector</w:t>
            </w:r>
            <w:r>
              <w:t xml:space="preserve">al/ </w:t>
            </w:r>
            <w:r w:rsidRPr="00D9303F">
              <w:t>legislation-specific definitions?</w:t>
            </w:r>
          </w:p>
        </w:tc>
        <w:tc>
          <w:tcPr>
            <w:tcW w:w="2127" w:type="dxa"/>
            <w:gridSpan w:val="2"/>
            <w:tcBorders>
              <w:top w:val="none" w:sz="0" w:space="0" w:color="auto"/>
              <w:bottom w:val="none" w:sz="0" w:space="0" w:color="auto"/>
            </w:tcBorders>
          </w:tcPr>
          <w:p w14:paraId="32D1C6B1" w14:textId="77777777" w:rsidR="009721DE" w:rsidRDefault="00D97AF7" w:rsidP="009721DE">
            <w:pPr>
              <w:pStyle w:val="Classificationcolumntext"/>
              <w:cnfStyle w:val="000000100000" w:firstRow="0" w:lastRow="0" w:firstColumn="0" w:lastColumn="0" w:oddVBand="0" w:evenVBand="0" w:oddHBand="1" w:evenHBand="0" w:firstRowFirstColumn="0" w:firstRowLastColumn="0" w:lastRowFirstColumn="0" w:lastRowLastColumn="0"/>
            </w:pPr>
            <w:r w:rsidRPr="001B55AD">
              <w:rPr>
                <w:color w:val="000000" w:themeColor="text1"/>
              </w:rPr>
              <w:t>General definition</w:t>
            </w:r>
          </w:p>
        </w:tc>
        <w:tc>
          <w:tcPr>
            <w:tcW w:w="5670" w:type="dxa"/>
            <w:gridSpan w:val="2"/>
            <w:tcBorders>
              <w:top w:val="none" w:sz="0" w:space="0" w:color="auto"/>
              <w:bottom w:val="none" w:sz="0" w:space="0" w:color="auto"/>
            </w:tcBorders>
          </w:tcPr>
          <w:p w14:paraId="34C031F8" w14:textId="77777777" w:rsidR="001B55AD" w:rsidRDefault="00D97AF7" w:rsidP="00AE1F14">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In addition to the general </w:t>
            </w:r>
            <w:r w:rsidR="00442256">
              <w:rPr>
                <w:color w:val="000000" w:themeColor="text1"/>
              </w:rPr>
              <w:t xml:space="preserve">definition of advertising, there are sectoral/legislation-specific definitions. </w:t>
            </w:r>
          </w:p>
          <w:p w14:paraId="4C49BD60" w14:textId="77777777" w:rsidR="001B55AD" w:rsidRDefault="001B55AD" w:rsidP="00AE1F14">
            <w:pPr>
              <w:cnfStyle w:val="000000100000" w:firstRow="0" w:lastRow="0" w:firstColumn="0" w:lastColumn="0" w:oddVBand="0" w:evenVBand="0" w:oddHBand="1" w:evenHBand="0" w:firstRowFirstColumn="0" w:firstRowLastColumn="0" w:lastRowFirstColumn="0" w:lastRowLastColumn="0"/>
              <w:rPr>
                <w:color w:val="000000" w:themeColor="text1"/>
              </w:rPr>
            </w:pPr>
          </w:p>
          <w:p w14:paraId="43F2F440" w14:textId="77777777" w:rsidR="00AE1F14" w:rsidRDefault="00D97AF7" w:rsidP="00AE1F14">
            <w:pPr>
              <w:cnfStyle w:val="000000100000" w:firstRow="0" w:lastRow="0" w:firstColumn="0" w:lastColumn="0" w:oddVBand="0" w:evenVBand="0" w:oddHBand="1" w:evenHBand="0" w:firstRowFirstColumn="0" w:firstRowLastColumn="0" w:lastRowFirstColumn="0" w:lastRowLastColumn="0"/>
              <w:rPr>
                <w:color w:val="000000" w:themeColor="text1"/>
              </w:rPr>
            </w:pPr>
            <w:r w:rsidRPr="001E234B">
              <w:rPr>
                <w:color w:val="000000" w:themeColor="text1"/>
              </w:rPr>
              <w:t xml:space="preserve">In Spain, the messages that the Government addresses to citizens in the exercise of its executive function are considered institutional advertising. </w:t>
            </w:r>
            <w:r>
              <w:rPr>
                <w:color w:val="000000" w:themeColor="text1"/>
              </w:rPr>
              <w:t>These are</w:t>
            </w:r>
            <w:r w:rsidRPr="001E234B">
              <w:rPr>
                <w:color w:val="000000" w:themeColor="text1"/>
              </w:rPr>
              <w:t xml:space="preserve"> regulated by </w:t>
            </w:r>
            <w:hyperlink r:id="rId78" w:history="1">
              <w:r w:rsidRPr="001E234B">
                <w:rPr>
                  <w:rStyle w:val="Hyperlink"/>
                  <w:color w:val="000000" w:themeColor="text1"/>
                </w:rPr>
                <w:t>Law 29/2005</w:t>
              </w:r>
            </w:hyperlink>
            <w:r w:rsidRPr="001E234B">
              <w:rPr>
                <w:color w:val="000000" w:themeColor="text1"/>
              </w:rPr>
              <w:t>, on Institutional Advertising and Communication, and the body in charge of managing it is the Institutional Advertising and Communication Commission created in 2006.</w:t>
            </w:r>
            <w:r>
              <w:rPr>
                <w:color w:val="000000" w:themeColor="text1"/>
              </w:rPr>
              <w:t xml:space="preserve"> </w:t>
            </w:r>
          </w:p>
          <w:p w14:paraId="5A911610" w14:textId="77777777" w:rsidR="00AE1F14" w:rsidRDefault="00AE1F14" w:rsidP="00AE1F14">
            <w:pPr>
              <w:cnfStyle w:val="000000100000" w:firstRow="0" w:lastRow="0" w:firstColumn="0" w:lastColumn="0" w:oddVBand="0" w:evenVBand="0" w:oddHBand="1" w:evenHBand="0" w:firstRowFirstColumn="0" w:firstRowLastColumn="0" w:lastRowFirstColumn="0" w:lastRowLastColumn="0"/>
              <w:rPr>
                <w:color w:val="000000" w:themeColor="text1"/>
              </w:rPr>
            </w:pPr>
          </w:p>
          <w:p w14:paraId="0B08435A" w14:textId="77777777" w:rsidR="001B55AD" w:rsidRPr="002A188C" w:rsidRDefault="00D97AF7" w:rsidP="002A188C">
            <w:pPr>
              <w:cnfStyle w:val="000000100000" w:firstRow="0" w:lastRow="0" w:firstColumn="0" w:lastColumn="0" w:oddVBand="0" w:evenVBand="0" w:oddHBand="1" w:evenHBand="0" w:firstRowFirstColumn="0" w:firstRowLastColumn="0" w:lastRowFirstColumn="0" w:lastRowLastColumn="0"/>
              <w:rPr>
                <w:color w:val="000000" w:themeColor="text1"/>
              </w:rPr>
            </w:pPr>
            <w:r w:rsidRPr="001E234B">
              <w:rPr>
                <w:color w:val="000000" w:themeColor="text1"/>
              </w:rPr>
              <w:t xml:space="preserve">In addition to article 11 of Law 29/2005, which establishes that its powers are "the planning, technical assistance, evaluation and coordination of the activities" of the General Administration of the State in this matter, this commission is also regulated by the </w:t>
            </w:r>
            <w:hyperlink r:id="rId79" w:history="1">
              <w:r w:rsidRPr="001E234B">
                <w:rPr>
                  <w:rStyle w:val="Hyperlink"/>
                  <w:color w:val="000000" w:themeColor="text1"/>
                </w:rPr>
                <w:t>Royal Decree 947/2006</w:t>
              </w:r>
            </w:hyperlink>
            <w:r w:rsidRPr="001E234B">
              <w:rPr>
                <w:color w:val="000000" w:themeColor="text1"/>
              </w:rPr>
              <w:t xml:space="preserve"> regulating the Institutional Advertising and Communication Commission and the preparation of the Annual Advertising and Communication Plan of the General Administration of the State</w:t>
            </w:r>
            <w:r w:rsidR="002A188C">
              <w:rPr>
                <w:color w:val="000000" w:themeColor="text1"/>
              </w:rPr>
              <w:t>.</w:t>
            </w:r>
          </w:p>
        </w:tc>
      </w:tr>
      <w:tr w:rsidR="000F492D" w14:paraId="35FA804F" w14:textId="77777777" w:rsidTr="33F03C23">
        <w:trPr>
          <w:gridAfter w:val="1"/>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1451AFB0" w14:textId="77777777" w:rsidR="009721DE" w:rsidRPr="00203503" w:rsidRDefault="00D97AF7" w:rsidP="009721DE">
            <w:pPr>
              <w:spacing w:line="276" w:lineRule="auto"/>
              <w:rPr>
                <w:rFonts w:cs="Arial"/>
                <w:color w:val="747474" w:themeColor="background2" w:themeShade="80"/>
              </w:rPr>
            </w:pPr>
            <w:r>
              <w:rPr>
                <w:rFonts w:cs="Arial"/>
                <w:color w:val="747474" w:themeColor="background2" w:themeShade="80"/>
              </w:rPr>
              <w:t>4.4</w:t>
            </w:r>
          </w:p>
        </w:tc>
        <w:tc>
          <w:tcPr>
            <w:tcW w:w="2126" w:type="dxa"/>
            <w:gridSpan w:val="2"/>
          </w:tcPr>
          <w:p w14:paraId="1CCDB746" w14:textId="77777777" w:rsidR="009721DE" w:rsidRDefault="00D97AF7" w:rsidP="009721DE">
            <w:pPr>
              <w:pStyle w:val="Subjectcolumntext"/>
              <w:cnfStyle w:val="000000000000" w:firstRow="0" w:lastRow="0" w:firstColumn="0" w:lastColumn="0" w:oddVBand="0" w:evenVBand="0" w:oddHBand="0" w:evenHBand="0" w:firstRowFirstColumn="0" w:firstRowLastColumn="0" w:lastRowFirstColumn="0" w:lastRowLastColumn="0"/>
            </w:pPr>
            <w:r w:rsidRPr="00D9303F">
              <w:t>Supranational</w:t>
            </w:r>
            <w:r>
              <w:t xml:space="preserve"> law</w:t>
            </w:r>
          </w:p>
        </w:tc>
        <w:tc>
          <w:tcPr>
            <w:tcW w:w="2127" w:type="dxa"/>
            <w:gridSpan w:val="2"/>
          </w:tcPr>
          <w:p w14:paraId="1AFCC515" w14:textId="77777777" w:rsidR="009721DE" w:rsidRDefault="009721DE" w:rsidP="009721DE">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gridSpan w:val="2"/>
          </w:tcPr>
          <w:p w14:paraId="6E21897F" w14:textId="77777777" w:rsidR="001A124F" w:rsidRPr="001A124F" w:rsidRDefault="00D97AF7" w:rsidP="001A124F">
            <w:pPr>
              <w:cnfStyle w:val="000000000000" w:firstRow="0" w:lastRow="0" w:firstColumn="0" w:lastColumn="0" w:oddVBand="0" w:evenVBand="0" w:oddHBand="0" w:evenHBand="0" w:firstRowFirstColumn="0" w:firstRowLastColumn="0" w:lastRowFirstColumn="0" w:lastRowLastColumn="0"/>
              <w:rPr>
                <w:rFonts w:eastAsia="Calibri" w:cs="Arial"/>
              </w:rPr>
            </w:pPr>
            <w:r w:rsidRPr="001A124F">
              <w:rPr>
                <w:rStyle w:val="normaltextrun"/>
                <w:rFonts w:eastAsia="Calibri" w:cs="Arial"/>
              </w:rPr>
              <w:t>In the advertising sector, the following key EU directives were either transposed or became directly enforceable: </w:t>
            </w:r>
          </w:p>
          <w:p w14:paraId="17A4C94C" w14:textId="77777777" w:rsidR="001A124F" w:rsidRPr="001A124F" w:rsidRDefault="00D97AF7" w:rsidP="001A124F">
            <w:pPr>
              <w:pStyle w:val="ListParagraph"/>
              <w:numPr>
                <w:ilvl w:val="0"/>
                <w:numId w:val="13"/>
              </w:numPr>
              <w:cnfStyle w:val="000000000000" w:firstRow="0" w:lastRow="0" w:firstColumn="0" w:lastColumn="0" w:oddVBand="0" w:evenVBand="0" w:oddHBand="0" w:evenHBand="0" w:firstRowFirstColumn="0" w:firstRowLastColumn="0" w:lastRowFirstColumn="0" w:lastRowLastColumn="0"/>
              <w:rPr>
                <w:rFonts w:cs="Arial"/>
                <w:color w:val="000000" w:themeColor="text1"/>
              </w:rPr>
            </w:pPr>
            <w:r w:rsidRPr="001A124F">
              <w:rPr>
                <w:rStyle w:val="normaltextrun"/>
                <w:rFonts w:eastAsiaTheme="minorEastAsia" w:cs="Arial"/>
                <w:color w:val="000000" w:themeColor="text1"/>
              </w:rPr>
              <w:t>The Unfair Commercial Practices Directive (</w:t>
            </w:r>
            <w:hyperlink r:id="rId80" w:history="1">
              <w:r w:rsidRPr="001A124F">
                <w:rPr>
                  <w:rStyle w:val="Hyperlink"/>
                  <w:rFonts w:eastAsiaTheme="minorEastAsia" w:cs="Arial"/>
                  <w:color w:val="0563C1"/>
                </w:rPr>
                <w:t>Directive 2005/29/EC</w:t>
              </w:r>
            </w:hyperlink>
            <w:r w:rsidRPr="001A124F">
              <w:rPr>
                <w:rStyle w:val="normaltextrun"/>
                <w:rFonts w:eastAsiaTheme="minorEastAsia" w:cs="Arial"/>
                <w:color w:val="000000" w:themeColor="text1"/>
              </w:rPr>
              <w:t>).</w:t>
            </w:r>
          </w:p>
          <w:p w14:paraId="27CB1B56" w14:textId="77777777" w:rsidR="001A124F" w:rsidRPr="001A124F" w:rsidRDefault="00D97AF7" w:rsidP="001A124F">
            <w:pPr>
              <w:pStyle w:val="ListParagraph"/>
              <w:numPr>
                <w:ilvl w:val="0"/>
                <w:numId w:val="13"/>
              </w:num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rPr>
            </w:pPr>
            <w:r w:rsidRPr="001A124F">
              <w:rPr>
                <w:rStyle w:val="normaltextrun"/>
                <w:rFonts w:eastAsia="Calibri" w:cs="Arial"/>
                <w:color w:val="000000" w:themeColor="text1"/>
              </w:rPr>
              <w:t>The Misleading and Comparative Advertising Directive (</w:t>
            </w:r>
            <w:hyperlink r:id="rId81" w:history="1">
              <w:r w:rsidRPr="001A124F">
                <w:rPr>
                  <w:rStyle w:val="Hyperlink"/>
                  <w:rFonts w:cs="Arial"/>
                </w:rPr>
                <w:t>Directive 2006/114/EC</w:t>
              </w:r>
            </w:hyperlink>
            <w:r w:rsidRPr="001A124F">
              <w:rPr>
                <w:rStyle w:val="normaltextrun"/>
                <w:rFonts w:eastAsia="Calibri" w:cs="Arial"/>
                <w:color w:val="000000" w:themeColor="text1"/>
              </w:rPr>
              <w:t>)</w:t>
            </w:r>
            <w:r w:rsidR="00C5283E">
              <w:rPr>
                <w:rStyle w:val="normaltextrun"/>
                <w:rFonts w:eastAsia="Calibri" w:cs="Arial"/>
                <w:color w:val="000000" w:themeColor="text1"/>
              </w:rPr>
              <w:t>.</w:t>
            </w:r>
          </w:p>
          <w:p w14:paraId="35E48AF5" w14:textId="77777777" w:rsidR="001A124F" w:rsidRPr="001A124F" w:rsidRDefault="00D97AF7" w:rsidP="001A124F">
            <w:pPr>
              <w:pStyle w:val="ListParagraph"/>
              <w:numPr>
                <w:ilvl w:val="0"/>
                <w:numId w:val="13"/>
              </w:numPr>
              <w:cnfStyle w:val="000000000000" w:firstRow="0" w:lastRow="0" w:firstColumn="0" w:lastColumn="0" w:oddVBand="0" w:evenVBand="0" w:oddHBand="0" w:evenHBand="0" w:firstRowFirstColumn="0" w:firstRowLastColumn="0" w:lastRowFirstColumn="0" w:lastRowLastColumn="0"/>
              <w:rPr>
                <w:rFonts w:cs="Arial"/>
                <w:color w:val="000000" w:themeColor="text1"/>
              </w:rPr>
            </w:pPr>
            <w:r w:rsidRPr="001A124F">
              <w:rPr>
                <w:rStyle w:val="normaltextrun"/>
                <w:rFonts w:eastAsiaTheme="minorEastAsia" w:cs="Arial"/>
                <w:color w:val="000000" w:themeColor="text1"/>
              </w:rPr>
              <w:t>The eCommerce Directive (</w:t>
            </w:r>
            <w:hyperlink r:id="rId82" w:history="1">
              <w:r w:rsidRPr="001A124F">
                <w:rPr>
                  <w:rStyle w:val="Hyperlink"/>
                  <w:rFonts w:eastAsiaTheme="minorEastAsia" w:cs="Arial"/>
                </w:rPr>
                <w:t>2000/31/EC</w:t>
              </w:r>
            </w:hyperlink>
            <w:r w:rsidRPr="001A124F">
              <w:rPr>
                <w:rStyle w:val="normaltextrun"/>
                <w:rFonts w:eastAsiaTheme="minorEastAsia" w:cs="Arial"/>
                <w:color w:val="000000" w:themeColor="text1"/>
              </w:rPr>
              <w:t xml:space="preserve">) </w:t>
            </w:r>
          </w:p>
          <w:p w14:paraId="1BB3B53E" w14:textId="77777777" w:rsidR="001A124F" w:rsidRPr="001A124F" w:rsidRDefault="00D97AF7" w:rsidP="001A124F">
            <w:pPr>
              <w:pStyle w:val="ListParagraph"/>
              <w:numPr>
                <w:ilvl w:val="0"/>
                <w:numId w:val="13"/>
              </w:numPr>
              <w:ind w:left="714" w:hanging="357"/>
              <w:cnfStyle w:val="000000000000" w:firstRow="0" w:lastRow="0" w:firstColumn="0" w:lastColumn="0" w:oddVBand="0" w:evenVBand="0" w:oddHBand="0" w:evenHBand="0" w:firstRowFirstColumn="0" w:firstRowLastColumn="0" w:lastRowFirstColumn="0" w:lastRowLastColumn="0"/>
              <w:rPr>
                <w:rFonts w:cs="Arial"/>
              </w:rPr>
            </w:pPr>
            <w:r w:rsidRPr="001A124F">
              <w:rPr>
                <w:rStyle w:val="normaltextrun"/>
                <w:rFonts w:eastAsiaTheme="minorEastAsia" w:cs="Arial"/>
              </w:rPr>
              <w:t>The amended Audiovisual Media Services Directive</w:t>
            </w:r>
            <w:r w:rsidRPr="001A124F">
              <w:rPr>
                <w:rStyle w:val="normaltextrun"/>
                <w:rFonts w:eastAsiaTheme="minorEastAsia" w:cs="Arial"/>
                <w:color w:val="333333"/>
              </w:rPr>
              <w:t xml:space="preserve"> (</w:t>
            </w:r>
            <w:hyperlink r:id="rId83" w:history="1">
              <w:r w:rsidRPr="001A124F">
                <w:rPr>
                  <w:rStyle w:val="Hyperlink"/>
                  <w:rFonts w:eastAsiaTheme="minorEastAsia" w:cs="Arial"/>
                  <w:color w:val="0563C1"/>
                </w:rPr>
                <w:t>Directive 2018/1808/EU</w:t>
              </w:r>
            </w:hyperlink>
            <w:r w:rsidRPr="001A124F">
              <w:rPr>
                <w:rStyle w:val="normaltextrun"/>
                <w:rFonts w:eastAsiaTheme="minorEastAsia" w:cs="Arial"/>
                <w:color w:val="333333"/>
              </w:rPr>
              <w:t>)</w:t>
            </w:r>
            <w:r w:rsidRPr="001A124F">
              <w:rPr>
                <w:rStyle w:val="normaltextrun"/>
                <w:rFonts w:eastAsiaTheme="minorEastAsia" w:cs="Arial"/>
              </w:rPr>
              <w:t>.</w:t>
            </w:r>
          </w:p>
          <w:p w14:paraId="583CD600" w14:textId="77777777" w:rsidR="001A124F" w:rsidRPr="001A124F" w:rsidRDefault="00D97AF7" w:rsidP="001A124F">
            <w:pPr>
              <w:pStyle w:val="ListParagraph"/>
              <w:numPr>
                <w:ilvl w:val="0"/>
                <w:numId w:val="13"/>
              </w:numPr>
              <w:ind w:left="714" w:hanging="357"/>
              <w:cnfStyle w:val="000000000000" w:firstRow="0" w:lastRow="0" w:firstColumn="0" w:lastColumn="0" w:oddVBand="0" w:evenVBand="0" w:oddHBand="0" w:evenHBand="0" w:firstRowFirstColumn="0" w:firstRowLastColumn="0" w:lastRowFirstColumn="0" w:lastRowLastColumn="0"/>
              <w:rPr>
                <w:rFonts w:cs="Arial"/>
              </w:rPr>
            </w:pPr>
            <w:r w:rsidRPr="001A124F">
              <w:rPr>
                <w:rFonts w:eastAsiaTheme="minorEastAsia" w:cs="Arial"/>
              </w:rPr>
              <w:t>The ePrivacy Directive (</w:t>
            </w:r>
            <w:hyperlink r:id="rId84" w:history="1">
              <w:r w:rsidRPr="001A124F">
                <w:rPr>
                  <w:rStyle w:val="Hyperlink"/>
                  <w:rFonts w:eastAsiaTheme="minorEastAsia" w:cs="Arial"/>
                </w:rPr>
                <w:t>2009/136/EC</w:t>
              </w:r>
            </w:hyperlink>
            <w:r w:rsidRPr="001A124F">
              <w:rPr>
                <w:rFonts w:eastAsiaTheme="minorEastAsia" w:cs="Arial"/>
              </w:rPr>
              <w:t>)</w:t>
            </w:r>
            <w:r w:rsidR="00C5283E">
              <w:rPr>
                <w:rFonts w:eastAsiaTheme="minorEastAsia" w:cs="Arial"/>
              </w:rPr>
              <w:t>.</w:t>
            </w:r>
            <w:r w:rsidR="00C5283E">
              <w:rPr>
                <w:rFonts w:eastAsiaTheme="minorEastAsia" w:cs="Arial"/>
              </w:rPr>
              <w:br/>
            </w:r>
          </w:p>
          <w:p w14:paraId="30EAACF8" w14:textId="7AFAC18E" w:rsidR="009721DE" w:rsidRPr="0016559B" w:rsidRDefault="00D97AF7" w:rsidP="001A124F">
            <w:pPr>
              <w:cnfStyle w:val="000000000000" w:firstRow="0" w:lastRow="0" w:firstColumn="0" w:lastColumn="0" w:oddVBand="0" w:evenVBand="0" w:oddHBand="0" w:evenHBand="0" w:firstRowFirstColumn="0" w:firstRowLastColumn="0" w:lastRowFirstColumn="0" w:lastRowLastColumn="0"/>
              <w:rPr>
                <w:rFonts w:cs="Arial"/>
              </w:rPr>
            </w:pPr>
            <w:r>
              <w:rPr>
                <w:rStyle w:val="normaltextrun"/>
                <w:rFonts w:eastAsiaTheme="minorEastAsia" w:cs="Arial"/>
              </w:rPr>
              <w:t xml:space="preserve">Also relevant to </w:t>
            </w:r>
            <w:r w:rsidR="009F2C80">
              <w:rPr>
                <w:rStyle w:val="normaltextrun"/>
                <w:rFonts w:eastAsiaTheme="minorEastAsia" w:cs="Arial"/>
              </w:rPr>
              <w:t xml:space="preserve">the regulation of </w:t>
            </w:r>
            <w:r>
              <w:rPr>
                <w:rStyle w:val="normaltextrun"/>
                <w:rFonts w:eastAsiaTheme="minorEastAsia" w:cs="Arial"/>
              </w:rPr>
              <w:t xml:space="preserve">marketing communications </w:t>
            </w:r>
            <w:r w:rsidR="009F2C80">
              <w:rPr>
                <w:rStyle w:val="normaltextrun"/>
                <w:rFonts w:eastAsiaTheme="minorEastAsia" w:cs="Arial"/>
              </w:rPr>
              <w:t xml:space="preserve">services </w:t>
            </w:r>
            <w:r>
              <w:rPr>
                <w:rStyle w:val="normaltextrun"/>
                <w:rFonts w:eastAsiaTheme="minorEastAsia" w:cs="Arial"/>
              </w:rPr>
              <w:t xml:space="preserve">are </w:t>
            </w:r>
            <w:r w:rsidR="009F2C80">
              <w:rPr>
                <w:rStyle w:val="normaltextrun"/>
                <w:rFonts w:eastAsiaTheme="minorEastAsia" w:cs="Arial"/>
              </w:rPr>
              <w:t>t</w:t>
            </w:r>
            <w:r w:rsidR="001A124F" w:rsidRPr="001A124F">
              <w:rPr>
                <w:rStyle w:val="normaltextrun"/>
                <w:rFonts w:eastAsiaTheme="minorEastAsia" w:cs="Arial"/>
              </w:rPr>
              <w:t xml:space="preserve">he General Data Protection Regulation (the GDPR, </w:t>
            </w:r>
            <w:hyperlink r:id="rId85" w:history="1">
              <w:r w:rsidR="001A124F" w:rsidRPr="001A124F">
                <w:rPr>
                  <w:rStyle w:val="Hyperlink"/>
                  <w:rFonts w:eastAsiaTheme="minorEastAsia" w:cs="Arial"/>
                  <w:color w:val="0563C1"/>
                </w:rPr>
                <w:t>EU Regulation 2016/679</w:t>
              </w:r>
            </w:hyperlink>
            <w:r w:rsidR="001A124F" w:rsidRPr="001A124F">
              <w:rPr>
                <w:rStyle w:val="normaltextrun"/>
                <w:rFonts w:eastAsiaTheme="minorEastAsia" w:cs="Arial"/>
              </w:rPr>
              <w:t xml:space="preserve">), the </w:t>
            </w:r>
            <w:r w:rsidR="001A124F" w:rsidRPr="001A124F">
              <w:rPr>
                <w:rStyle w:val="normaltextrun"/>
                <w:rFonts w:eastAsiaTheme="minorEastAsia" w:cs="Arial"/>
                <w:color w:val="000000" w:themeColor="text1"/>
              </w:rPr>
              <w:t>Data Governance Act (</w:t>
            </w:r>
            <w:hyperlink r:id="rId86" w:history="1">
              <w:r w:rsidR="001A124F" w:rsidRPr="001A124F">
                <w:rPr>
                  <w:rStyle w:val="Hyperlink"/>
                  <w:rFonts w:eastAsiaTheme="minorEastAsia" w:cs="Arial"/>
                </w:rPr>
                <w:t>2022/868</w:t>
              </w:r>
            </w:hyperlink>
            <w:r w:rsidR="001A124F" w:rsidRPr="001A124F">
              <w:rPr>
                <w:rStyle w:val="normaltextrun"/>
                <w:rFonts w:eastAsiaTheme="minorEastAsia" w:cs="Arial"/>
                <w:color w:val="000000" w:themeColor="text1"/>
              </w:rPr>
              <w:t xml:space="preserve">), </w:t>
            </w:r>
            <w:r w:rsidR="001A124F" w:rsidRPr="001A124F">
              <w:rPr>
                <w:rStyle w:val="normaltextrun"/>
                <w:rFonts w:eastAsiaTheme="minorEastAsia" w:cs="Arial"/>
              </w:rPr>
              <w:t xml:space="preserve">the Digital Services Act </w:t>
            </w:r>
            <w:r w:rsidR="001A124F" w:rsidRPr="001A124F">
              <w:rPr>
                <w:rStyle w:val="normaltextrun"/>
                <w:rFonts w:eastAsiaTheme="minorEastAsia" w:cs="Arial"/>
              </w:rPr>
              <w:lastRenderedPageBreak/>
              <w:t xml:space="preserve">(the DSA, </w:t>
            </w:r>
            <w:hyperlink r:id="rId87" w:history="1">
              <w:r w:rsidR="001A124F" w:rsidRPr="001A124F">
                <w:rPr>
                  <w:rStyle w:val="Hyperlink"/>
                  <w:rFonts w:eastAsiaTheme="minorEastAsia" w:cs="Arial"/>
                  <w:color w:val="0563C1"/>
                </w:rPr>
                <w:t>EU Regulation 2022/2065</w:t>
              </w:r>
            </w:hyperlink>
            <w:r w:rsidR="001A124F" w:rsidRPr="001A124F">
              <w:rPr>
                <w:rStyle w:val="normaltextrun"/>
                <w:rFonts w:eastAsiaTheme="minorEastAsia" w:cs="Arial"/>
              </w:rPr>
              <w:t>)</w:t>
            </w:r>
            <w:r w:rsidR="0077205F">
              <w:rPr>
                <w:rStyle w:val="normaltextrun"/>
                <w:rFonts w:eastAsiaTheme="minorEastAsia" w:cs="Arial"/>
              </w:rPr>
              <w:t>,</w:t>
            </w:r>
            <w:r w:rsidR="009F2C80">
              <w:rPr>
                <w:rStyle w:val="normaltextrun"/>
                <w:rFonts w:eastAsiaTheme="minorEastAsia" w:cs="Arial"/>
              </w:rPr>
              <w:t xml:space="preserve"> and t</w:t>
            </w:r>
            <w:r w:rsidR="001A124F" w:rsidRPr="001A124F">
              <w:rPr>
                <w:rStyle w:val="normaltextrun"/>
                <w:rFonts w:eastAsiaTheme="minorEastAsia" w:cs="Arial"/>
                <w:color w:val="000000" w:themeColor="text1"/>
              </w:rPr>
              <w:t>he Digital Markets Act (</w:t>
            </w:r>
            <w:hyperlink r:id="rId88" w:history="1">
              <w:r w:rsidR="001A124F" w:rsidRPr="001A124F">
                <w:rPr>
                  <w:rStyle w:val="Hyperlink"/>
                  <w:rFonts w:eastAsiaTheme="minorEastAsia" w:cs="Arial"/>
                </w:rPr>
                <w:t>2022/1925</w:t>
              </w:r>
            </w:hyperlink>
            <w:r w:rsidR="001A124F" w:rsidRPr="001A124F">
              <w:rPr>
                <w:rStyle w:val="normaltextrun"/>
                <w:rFonts w:eastAsiaTheme="minorEastAsia" w:cs="Arial"/>
                <w:color w:val="000000" w:themeColor="text1"/>
              </w:rPr>
              <w:t>)</w:t>
            </w:r>
            <w:r w:rsidR="001A124F" w:rsidRPr="001A124F">
              <w:rPr>
                <w:rStyle w:val="normaltextrun"/>
                <w:rFonts w:eastAsiaTheme="minorEastAsia" w:cs="Arial"/>
              </w:rPr>
              <w:t>.</w:t>
            </w:r>
          </w:p>
        </w:tc>
      </w:tr>
      <w:tr w:rsidR="000F492D" w:rsidRPr="007E02F3" w14:paraId="03BB974C" w14:textId="77777777" w:rsidTr="33F03C23">
        <w:trPr>
          <w:gridBefore w:val="1"/>
          <w:cnfStyle w:val="000000100000" w:firstRow="0" w:lastRow="0" w:firstColumn="0" w:lastColumn="0" w:oddVBand="0" w:evenVBand="0" w:oddHBand="1" w:evenHBand="0" w:firstRowFirstColumn="0" w:firstRowLastColumn="0" w:lastRowFirstColumn="0" w:lastRowLastColumn="0"/>
          <w:wBefore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Borders>
              <w:top w:val="none" w:sz="0" w:space="0" w:color="auto"/>
              <w:bottom w:val="none" w:sz="0" w:space="0" w:color="auto"/>
            </w:tcBorders>
          </w:tcPr>
          <w:p w14:paraId="661924D9" w14:textId="77777777" w:rsidR="009721DE" w:rsidRPr="00203503" w:rsidRDefault="00D97AF7" w:rsidP="009721DE">
            <w:pPr>
              <w:spacing w:line="276" w:lineRule="auto"/>
              <w:rPr>
                <w:rFonts w:cs="Arial"/>
                <w:color w:val="747474" w:themeColor="background2" w:themeShade="80"/>
              </w:rPr>
            </w:pPr>
            <w:r>
              <w:rPr>
                <w:rFonts w:cs="Arial"/>
                <w:color w:val="747474" w:themeColor="background2" w:themeShade="80"/>
              </w:rPr>
              <w:lastRenderedPageBreak/>
              <w:t>4.5</w:t>
            </w:r>
          </w:p>
        </w:tc>
        <w:tc>
          <w:tcPr>
            <w:tcW w:w="2126" w:type="dxa"/>
            <w:gridSpan w:val="2"/>
            <w:tcBorders>
              <w:top w:val="none" w:sz="0" w:space="0" w:color="auto"/>
              <w:bottom w:val="none" w:sz="0" w:space="0" w:color="auto"/>
            </w:tcBorders>
          </w:tcPr>
          <w:p w14:paraId="6DA783FA" w14:textId="77777777" w:rsidR="009721DE" w:rsidRDefault="00D97AF7" w:rsidP="009721DE">
            <w:pPr>
              <w:pStyle w:val="Subjectcolumntext"/>
              <w:cnfStyle w:val="000000100000" w:firstRow="0" w:lastRow="0" w:firstColumn="0" w:lastColumn="0" w:oddVBand="0" w:evenVBand="0" w:oddHBand="1" w:evenHBand="0" w:firstRowFirstColumn="0" w:firstRowLastColumn="0" w:lastRowFirstColumn="0" w:lastRowLastColumn="0"/>
            </w:pPr>
            <w:r w:rsidRPr="00D9303F">
              <w:t>Major legislation</w:t>
            </w:r>
          </w:p>
        </w:tc>
        <w:tc>
          <w:tcPr>
            <w:tcW w:w="2127" w:type="dxa"/>
            <w:gridSpan w:val="2"/>
            <w:tcBorders>
              <w:top w:val="none" w:sz="0" w:space="0" w:color="auto"/>
              <w:bottom w:val="none" w:sz="0" w:space="0" w:color="auto"/>
            </w:tcBorders>
          </w:tcPr>
          <w:p w14:paraId="4E7F0448" w14:textId="77777777" w:rsidR="009721DE" w:rsidRDefault="009721DE" w:rsidP="009721DE">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gridSpan w:val="2"/>
            <w:tcBorders>
              <w:top w:val="none" w:sz="0" w:space="0" w:color="auto"/>
              <w:bottom w:val="none" w:sz="0" w:space="0" w:color="auto"/>
            </w:tcBorders>
          </w:tcPr>
          <w:p w14:paraId="79D41EBC" w14:textId="77777777" w:rsidR="0079455A" w:rsidRPr="001B55AD" w:rsidRDefault="00D97AF7" w:rsidP="0079455A">
            <w:pPr>
              <w:pStyle w:val="Heading3"/>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22"/>
                <w:szCs w:val="22"/>
              </w:rPr>
            </w:pPr>
            <w:r w:rsidRPr="001B55AD">
              <w:rPr>
                <w:rFonts w:eastAsia="Calibri" w:cs="Arial"/>
                <w:color w:val="000000" w:themeColor="text1"/>
                <w:sz w:val="22"/>
                <w:szCs w:val="22"/>
              </w:rPr>
              <w:t xml:space="preserve">Apart from the General Advertising Act and the Unfair Competition Act, other laws contain provisions that regulate or affect advertising, including the following: </w:t>
            </w:r>
          </w:p>
          <w:p w14:paraId="59AC17AB" w14:textId="77777777" w:rsidR="0079455A" w:rsidRPr="001B55AD" w:rsidRDefault="00D97AF7" w:rsidP="0079455A">
            <w:pPr>
              <w:pStyle w:val="Heading3"/>
              <w:numPr>
                <w:ilvl w:val="0"/>
                <w:numId w:val="6"/>
              </w:numPr>
              <w:tabs>
                <w:tab w:val="num" w:pos="360"/>
              </w:tabs>
              <w:ind w:left="0" w:firstLine="0"/>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22"/>
                <w:szCs w:val="22"/>
              </w:rPr>
            </w:pPr>
            <w:r w:rsidRPr="001B55AD">
              <w:rPr>
                <w:rFonts w:eastAsia="Calibri" w:cs="Arial"/>
                <w:color w:val="000000" w:themeColor="text1"/>
                <w:sz w:val="22"/>
                <w:szCs w:val="22"/>
              </w:rPr>
              <w:t xml:space="preserve">the Commercial Code; Legislative Royal Decree 1/2007, approving the consolidated text for the General Act for the Defence of Consumers and Users and other complementary rules ('Consumer Defence Act'). </w:t>
            </w:r>
          </w:p>
          <w:p w14:paraId="3A14E140" w14:textId="00E0610C" w:rsidR="0079455A" w:rsidRPr="001B55AD" w:rsidRDefault="00D97AF7" w:rsidP="0079455A">
            <w:pPr>
              <w:pStyle w:val="Heading3"/>
              <w:numPr>
                <w:ilvl w:val="0"/>
                <w:numId w:val="6"/>
              </w:numPr>
              <w:tabs>
                <w:tab w:val="num" w:pos="360"/>
              </w:tabs>
              <w:ind w:left="0" w:firstLine="0"/>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22"/>
                <w:szCs w:val="22"/>
              </w:rPr>
            </w:pPr>
            <w:r w:rsidRPr="001B55AD">
              <w:rPr>
                <w:rFonts w:eastAsia="Calibri" w:cs="Arial"/>
                <w:color w:val="000000" w:themeColor="text1"/>
                <w:sz w:val="22"/>
                <w:szCs w:val="22"/>
              </w:rPr>
              <w:t>Act 7/1996, regulating retail trade; Organic Act 1/1982 on the civil protection of the right to honour, personal and familiar intimacy</w:t>
            </w:r>
            <w:r w:rsidR="0077205F">
              <w:rPr>
                <w:rFonts w:eastAsia="Calibri" w:cs="Arial"/>
                <w:color w:val="000000" w:themeColor="text1"/>
                <w:sz w:val="22"/>
                <w:szCs w:val="22"/>
              </w:rPr>
              <w:t>,</w:t>
            </w:r>
            <w:r w:rsidRPr="001B55AD">
              <w:rPr>
                <w:rFonts w:eastAsia="Calibri" w:cs="Arial"/>
                <w:color w:val="000000" w:themeColor="text1"/>
                <w:sz w:val="22"/>
                <w:szCs w:val="22"/>
              </w:rPr>
              <w:t xml:space="preserve"> and one's own image. </w:t>
            </w:r>
          </w:p>
          <w:p w14:paraId="4E121DD4" w14:textId="77777777" w:rsidR="0079455A" w:rsidRPr="001B55AD" w:rsidRDefault="00D97AF7" w:rsidP="0079455A">
            <w:pPr>
              <w:pStyle w:val="Heading3"/>
              <w:numPr>
                <w:ilvl w:val="0"/>
                <w:numId w:val="6"/>
              </w:numPr>
              <w:tabs>
                <w:tab w:val="num" w:pos="360"/>
              </w:tabs>
              <w:ind w:left="0" w:firstLine="0"/>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22"/>
                <w:szCs w:val="22"/>
              </w:rPr>
            </w:pPr>
            <w:r w:rsidRPr="001B55AD">
              <w:rPr>
                <w:rFonts w:eastAsia="Calibri" w:cs="Arial"/>
                <w:color w:val="000000" w:themeColor="text1"/>
                <w:sz w:val="22"/>
                <w:szCs w:val="22"/>
              </w:rPr>
              <w:t xml:space="preserve">Organic Act 1/1996 on the legal protection of minors, as well as modification of the Civil Code and the Civil Procedure Act. </w:t>
            </w:r>
          </w:p>
          <w:p w14:paraId="280F3618" w14:textId="77777777" w:rsidR="0079455A" w:rsidRPr="001B55AD" w:rsidRDefault="00D97AF7" w:rsidP="0079455A">
            <w:pPr>
              <w:pStyle w:val="Heading3"/>
              <w:numPr>
                <w:ilvl w:val="0"/>
                <w:numId w:val="6"/>
              </w:numPr>
              <w:tabs>
                <w:tab w:val="num" w:pos="360"/>
              </w:tabs>
              <w:ind w:left="0" w:firstLine="0"/>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22"/>
                <w:szCs w:val="22"/>
              </w:rPr>
            </w:pPr>
            <w:r w:rsidRPr="001B55AD">
              <w:rPr>
                <w:rFonts w:eastAsia="Calibri" w:cs="Arial"/>
                <w:color w:val="000000" w:themeColor="text1"/>
                <w:sz w:val="22"/>
                <w:szCs w:val="22"/>
              </w:rPr>
              <w:t xml:space="preserve">Organic Act 1/2004 on measures for protection against gender violence.  </w:t>
            </w:r>
          </w:p>
          <w:p w14:paraId="6A9AF5A8" w14:textId="4B6502D0" w:rsidR="0079455A" w:rsidRPr="001B55AD" w:rsidRDefault="00D97AF7" w:rsidP="0079455A">
            <w:pPr>
              <w:pStyle w:val="Heading3"/>
              <w:numPr>
                <w:ilvl w:val="0"/>
                <w:numId w:val="6"/>
              </w:numPr>
              <w:tabs>
                <w:tab w:val="num" w:pos="360"/>
              </w:tabs>
              <w:ind w:left="0" w:firstLine="0"/>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22"/>
                <w:szCs w:val="22"/>
              </w:rPr>
            </w:pPr>
            <w:r w:rsidRPr="001B55AD">
              <w:rPr>
                <w:rFonts w:eastAsia="Calibri" w:cs="Arial"/>
                <w:color w:val="000000" w:themeColor="text1"/>
                <w:sz w:val="22"/>
                <w:szCs w:val="22"/>
              </w:rPr>
              <w:t>Legislative Royal Decree 1/1996 approving the reformulated text of the IP Act in order to regularise, clarify and harmonise certain legal provisions</w:t>
            </w:r>
            <w:r w:rsidR="0077205F">
              <w:rPr>
                <w:rFonts w:eastAsia="Calibri" w:cs="Arial"/>
                <w:color w:val="000000" w:themeColor="text1"/>
                <w:sz w:val="22"/>
                <w:szCs w:val="22"/>
              </w:rPr>
              <w:t>.</w:t>
            </w:r>
            <w:r w:rsidRPr="001B55AD">
              <w:rPr>
                <w:rFonts w:eastAsia="Calibri" w:cs="Arial"/>
                <w:color w:val="000000" w:themeColor="text1"/>
                <w:sz w:val="22"/>
                <w:szCs w:val="22"/>
              </w:rPr>
              <w:t xml:space="preserve"> </w:t>
            </w:r>
          </w:p>
          <w:p w14:paraId="55CF1E0C" w14:textId="77777777" w:rsidR="0079455A" w:rsidRPr="001B55AD" w:rsidRDefault="00D97AF7" w:rsidP="0079455A">
            <w:pPr>
              <w:pStyle w:val="Heading3"/>
              <w:numPr>
                <w:ilvl w:val="0"/>
                <w:numId w:val="6"/>
              </w:numPr>
              <w:tabs>
                <w:tab w:val="num" w:pos="360"/>
              </w:tabs>
              <w:ind w:left="0" w:firstLine="0"/>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22"/>
                <w:szCs w:val="22"/>
              </w:rPr>
            </w:pPr>
            <w:r w:rsidRPr="001B55AD">
              <w:rPr>
                <w:rFonts w:eastAsia="Calibri" w:cs="Arial"/>
                <w:color w:val="000000" w:themeColor="text1"/>
                <w:sz w:val="22"/>
                <w:szCs w:val="22"/>
              </w:rPr>
              <w:t xml:space="preserve">Organic Act 3/2018 on personal data protection and the guarantee of digital rights ('Personal Data Protection Act'), which adapted the General Data Protection Regulation (GDPR) to Spanish law. Act 17/2001 on trademarks; and the Criminal Code, especially Article 282 on false advertising. </w:t>
            </w:r>
          </w:p>
          <w:p w14:paraId="05C0A168" w14:textId="77777777" w:rsidR="002A601C" w:rsidRPr="001B55AD" w:rsidRDefault="002A601C" w:rsidP="002A601C">
            <w:pPr>
              <w:cnfStyle w:val="000000100000" w:firstRow="0" w:lastRow="0" w:firstColumn="0" w:lastColumn="0" w:oddVBand="0" w:evenVBand="0" w:oddHBand="1" w:evenHBand="0" w:firstRowFirstColumn="0" w:firstRowLastColumn="0" w:lastRowFirstColumn="0" w:lastRowLastColumn="0"/>
              <w:rPr>
                <w:rFonts w:cs="Arial"/>
              </w:rPr>
            </w:pPr>
          </w:p>
          <w:p w14:paraId="49FCCD9A" w14:textId="77777777" w:rsidR="002A601C" w:rsidRPr="001B55AD" w:rsidRDefault="00D97AF7" w:rsidP="002A601C">
            <w:pPr>
              <w:cnfStyle w:val="000000100000" w:firstRow="0" w:lastRow="0" w:firstColumn="0" w:lastColumn="0" w:oddVBand="0" w:evenVBand="0" w:oddHBand="1" w:evenHBand="0" w:firstRowFirstColumn="0" w:firstRowLastColumn="0" w:lastRowFirstColumn="0" w:lastRowLastColumn="0"/>
              <w:rPr>
                <w:rFonts w:cs="Arial"/>
              </w:rPr>
            </w:pPr>
            <w:r w:rsidRPr="001B55AD">
              <w:rPr>
                <w:rFonts w:cs="Arial"/>
              </w:rPr>
              <w:t>Other law</w:t>
            </w:r>
            <w:r w:rsidR="00E6608A" w:rsidRPr="001B55AD">
              <w:rPr>
                <w:rFonts w:cs="Arial"/>
              </w:rPr>
              <w:t>s</w:t>
            </w:r>
            <w:r w:rsidRPr="001B55AD">
              <w:rPr>
                <w:rFonts w:cs="Arial"/>
              </w:rPr>
              <w:t xml:space="preserve"> affecting advertising include:</w:t>
            </w:r>
          </w:p>
          <w:p w14:paraId="026856FB" w14:textId="77777777" w:rsidR="005E52F9" w:rsidRPr="001B55AD" w:rsidRDefault="00D97AF7" w:rsidP="005E52F9">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Laws Regulating Electoral Advertising (2/1988) and Terrestrial Broadcasting of Electoral</w:t>
            </w:r>
          </w:p>
          <w:p w14:paraId="77DD79FA" w14:textId="77777777" w:rsidR="005E52F9" w:rsidRPr="001B55AD" w:rsidRDefault="00D97AF7" w:rsidP="005E52F9">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Propaganda by Local Televisión Stations (14/1995)</w:t>
            </w:r>
          </w:p>
          <w:p w14:paraId="069D5EC4" w14:textId="77777777" w:rsidR="005E52F9" w:rsidRPr="001B55AD" w:rsidRDefault="00D97AF7" w:rsidP="005E52F9">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Unfair Competition Law (1991; amended in 2009)</w:t>
            </w:r>
          </w:p>
          <w:p w14:paraId="5E4941D2" w14:textId="77777777" w:rsidR="005E52F9" w:rsidRPr="001B55AD" w:rsidRDefault="00D97AF7" w:rsidP="005E52F9">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Legal Protection of Minors Act (Law 1/1996)</w:t>
            </w:r>
          </w:p>
          <w:p w14:paraId="3B6EED1B" w14:textId="77777777" w:rsidR="005E52F9" w:rsidRPr="001B55AD" w:rsidRDefault="00D97AF7" w:rsidP="005E52F9">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Retail Trade Act (Law 7/1996)</w:t>
            </w:r>
          </w:p>
          <w:p w14:paraId="298AFA27" w14:textId="77777777" w:rsidR="005E52F9" w:rsidRPr="001B55AD" w:rsidRDefault="00D97AF7" w:rsidP="005E52F9">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Law on Universal Postal Service (Law 24/1998)</w:t>
            </w:r>
          </w:p>
          <w:p w14:paraId="53AB7FBC" w14:textId="77777777" w:rsidR="005E52F9" w:rsidRPr="001B55AD" w:rsidRDefault="00D97AF7" w:rsidP="005E52F9">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Law on Protection of Personal Data (Law 15/1999)</w:t>
            </w:r>
          </w:p>
          <w:p w14:paraId="755039C4" w14:textId="77777777" w:rsidR="005E52F9" w:rsidRPr="001B55AD" w:rsidRDefault="00D97AF7" w:rsidP="005E52F9">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Law on Information Society Services and Electronic Commerce (Law 34/2002).</w:t>
            </w:r>
          </w:p>
          <w:p w14:paraId="21C518AE" w14:textId="77777777" w:rsidR="00F37D12" w:rsidRPr="001B55AD" w:rsidRDefault="00D97AF7" w:rsidP="00F37D12">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General Telecommunications Law (Law 32/2003)</w:t>
            </w:r>
          </w:p>
          <w:p w14:paraId="21508415" w14:textId="77777777" w:rsidR="00F37D12" w:rsidRPr="001B55AD" w:rsidRDefault="00D97AF7" w:rsidP="00F37D12">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Spanish Law of E-Commerce (Law 292/2004)</w:t>
            </w:r>
          </w:p>
          <w:p w14:paraId="28E7EE4D" w14:textId="77777777" w:rsidR="00F37D12" w:rsidRPr="001B55AD" w:rsidRDefault="00D97AF7" w:rsidP="00F37D12">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Law on Guarantees and the Rational Use of Medicines and Health Products (Law 29/2006)</w:t>
            </w:r>
          </w:p>
          <w:p w14:paraId="64ADBD30" w14:textId="77777777" w:rsidR="00F37D12" w:rsidRPr="001B55AD" w:rsidRDefault="00D97AF7" w:rsidP="00F37D12">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Amendments to the Unfair Competition Act, modifying the Spanish legal system of unfair</w:t>
            </w:r>
          </w:p>
          <w:p w14:paraId="783FC3A2" w14:textId="77777777" w:rsidR="00F37D12" w:rsidRPr="001B55AD" w:rsidRDefault="00D97AF7" w:rsidP="00F37D12">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competition and advertising to enhance consumer and user protection (Law 29/2009)</w:t>
            </w:r>
          </w:p>
          <w:p w14:paraId="41411EF4" w14:textId="77777777" w:rsidR="009C51EF" w:rsidRPr="001B55AD" w:rsidRDefault="00D97AF7" w:rsidP="009C51EF">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lastRenderedPageBreak/>
              <w:t>• European Directive 89/552 Television Without Borders, transposed into Spanish Law (Law</w:t>
            </w:r>
          </w:p>
          <w:p w14:paraId="7A4D4F47" w14:textId="77777777" w:rsidR="00D03C8B" w:rsidRPr="001B55AD" w:rsidRDefault="00D97AF7" w:rsidP="00D03C8B">
            <w:pPr>
              <w:cnfStyle w:val="000000100000" w:firstRow="0" w:lastRow="0" w:firstColumn="0" w:lastColumn="0" w:oddVBand="0" w:evenVBand="0" w:oddHBand="1" w:evenHBand="0" w:firstRowFirstColumn="0" w:firstRowLastColumn="0" w:lastRowFirstColumn="0" w:lastRowLastColumn="0"/>
              <w:rPr>
                <w:rFonts w:eastAsia="Calibri" w:cs="Arial"/>
                <w:color w:val="000000"/>
              </w:rPr>
            </w:pPr>
            <w:r w:rsidRPr="001B55AD">
              <w:rPr>
                <w:rFonts w:eastAsia="Calibri" w:cs="Arial"/>
                <w:color w:val="000000"/>
              </w:rPr>
              <w:t xml:space="preserve">25/1994) and modified by the General Law on Audiovisual Communication </w:t>
            </w:r>
            <w:r w:rsidR="00B56817" w:rsidRPr="001B55AD">
              <w:rPr>
                <w:rFonts w:eastAsia="Calibri" w:cs="Arial"/>
                <w:color w:val="000000"/>
              </w:rPr>
              <w:t>(</w:t>
            </w:r>
            <w:r w:rsidRPr="001B55AD">
              <w:rPr>
                <w:rFonts w:eastAsia="Calibri" w:cs="Arial"/>
                <w:color w:val="000000"/>
              </w:rPr>
              <w:t>Law 7/2010)</w:t>
            </w:r>
            <w:r w:rsidR="00596C64" w:rsidRPr="001B55AD">
              <w:rPr>
                <w:rFonts w:eastAsia="Calibri" w:cs="Arial"/>
                <w:color w:val="000000"/>
              </w:rPr>
              <w:t xml:space="preserve"> and </w:t>
            </w:r>
            <w:r w:rsidR="00596C64" w:rsidRPr="001B55AD">
              <w:rPr>
                <w:rStyle w:val="hgkelc"/>
                <w:rFonts w:cs="Arial"/>
                <w:lang w:val="en"/>
              </w:rPr>
              <w:t xml:space="preserve">Ley General de Comunicación Audiovisual </w:t>
            </w:r>
            <w:r w:rsidRPr="001B55AD">
              <w:rPr>
                <w:rStyle w:val="hgkelc"/>
                <w:rFonts w:cs="Arial"/>
                <w:lang w:val="en"/>
              </w:rPr>
              <w:t xml:space="preserve">(LGCA) </w:t>
            </w:r>
            <w:r w:rsidR="00596C64" w:rsidRPr="001B55AD">
              <w:rPr>
                <w:rStyle w:val="hgkelc"/>
                <w:rFonts w:cs="Arial"/>
                <w:lang w:val="en"/>
              </w:rPr>
              <w:t>(Ley 13/2022,</w:t>
            </w:r>
            <w:r w:rsidR="00863E32" w:rsidRPr="001B55AD">
              <w:rPr>
                <w:rStyle w:val="hgkelc"/>
                <w:rFonts w:cs="Arial"/>
                <w:lang w:val="en"/>
              </w:rPr>
              <w:t xml:space="preserve"> of 7 July</w:t>
            </w:r>
            <w:r w:rsidR="00596C64" w:rsidRPr="001B55AD">
              <w:rPr>
                <w:rStyle w:val="hgkelc"/>
                <w:rFonts w:cs="Arial"/>
                <w:lang w:val="en"/>
              </w:rPr>
              <w:t>)</w:t>
            </w:r>
            <w:r w:rsidRPr="001B55AD">
              <w:rPr>
                <w:rStyle w:val="hgkelc"/>
                <w:rFonts w:cs="Arial"/>
                <w:lang w:val="en"/>
              </w:rPr>
              <w:t xml:space="preserve"> </w:t>
            </w:r>
            <w:r w:rsidR="00F37D12" w:rsidRPr="001B55AD">
              <w:rPr>
                <w:rFonts w:eastAsia="Calibri" w:cs="Arial"/>
                <w:color w:val="000000"/>
              </w:rPr>
              <w:t>(</w:t>
            </w:r>
            <w:hyperlink r:id="rId89" w:history="1">
              <w:r w:rsidR="00F37D12" w:rsidRPr="001B55AD">
                <w:rPr>
                  <w:rStyle w:val="Hyperlink"/>
                  <w:rFonts w:eastAsia="Calibri" w:cs="Arial"/>
                </w:rPr>
                <w:t>BOE, 2022a</w:t>
              </w:r>
            </w:hyperlink>
            <w:r w:rsidR="00F37D12" w:rsidRPr="001B55AD">
              <w:rPr>
                <w:rFonts w:eastAsia="Calibri" w:cs="Arial"/>
                <w:color w:val="000000"/>
              </w:rPr>
              <w:t>.)</w:t>
            </w:r>
          </w:p>
          <w:p w14:paraId="02E7526E" w14:textId="77777777" w:rsidR="00D03C8B" w:rsidRPr="001B55AD" w:rsidRDefault="00D03C8B" w:rsidP="00D03C8B">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p>
          <w:p w14:paraId="7F51EE58" w14:textId="47EDE994" w:rsidR="00D03C8B" w:rsidRPr="001B55AD" w:rsidRDefault="00D97AF7" w:rsidP="00D03C8B">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1B55AD">
              <w:rPr>
                <w:rFonts w:eastAsia="Calibri" w:cs="Arial"/>
                <w:color w:val="000000" w:themeColor="text1"/>
              </w:rPr>
              <w:t xml:space="preserve">In addition, there are specific laws regulating certain industry sectors, products and consumer market sectors, such as advertising to children. </w:t>
            </w:r>
            <w:bookmarkStart w:id="9" w:name="_heading=h.gjdgxs"/>
            <w:bookmarkEnd w:id="9"/>
            <w:r w:rsidRPr="001B55AD">
              <w:rPr>
                <w:rFonts w:eastAsia="Calibri" w:cs="Arial"/>
                <w:color w:val="000000" w:themeColor="text1"/>
              </w:rPr>
              <w:t xml:space="preserve">The consumer sector is governed by the Royal </w:t>
            </w:r>
            <w:r w:rsidRPr="001B55AD">
              <w:rPr>
                <w:rFonts w:eastAsia="Calibri" w:cs="Arial"/>
                <w:i/>
                <w:iCs/>
                <w:color w:val="000000" w:themeColor="text1"/>
              </w:rPr>
              <w:t>Decree-Law 1/2007, 16 of November</w:t>
            </w:r>
            <w:r w:rsidRPr="001B55AD">
              <w:rPr>
                <w:rFonts w:eastAsia="Calibri" w:cs="Arial"/>
                <w:color w:val="000000" w:themeColor="text1"/>
              </w:rPr>
              <w:t xml:space="preserve">, through which is approved the </w:t>
            </w:r>
            <w:r w:rsidRPr="001B55AD">
              <w:rPr>
                <w:rFonts w:cs="Arial"/>
                <w:color w:val="000000" w:themeColor="text1"/>
              </w:rPr>
              <w:t>rewritten</w:t>
            </w:r>
            <w:r w:rsidRPr="001B55AD">
              <w:rPr>
                <w:rFonts w:eastAsia="Calibri" w:cs="Arial"/>
                <w:color w:val="000000" w:themeColor="text1"/>
              </w:rPr>
              <w:t xml:space="preserve"> text of the General Law for the </w:t>
            </w:r>
            <w:r w:rsidR="0077205F" w:rsidRPr="001B55AD">
              <w:rPr>
                <w:rFonts w:cs="Arial"/>
                <w:color w:val="000000" w:themeColor="text1"/>
              </w:rPr>
              <w:t>Defence</w:t>
            </w:r>
            <w:r w:rsidRPr="001B55AD">
              <w:rPr>
                <w:rFonts w:eastAsia="Calibri" w:cs="Arial"/>
                <w:color w:val="000000" w:themeColor="text1"/>
              </w:rPr>
              <w:t xml:space="preserve"> of Consumers and users and other complementary laws </w:t>
            </w:r>
            <w:r w:rsidRPr="001B55AD">
              <w:rPr>
                <w:rFonts w:eastAsia="Calibri" w:cs="Arial"/>
              </w:rPr>
              <w:t>(</w:t>
            </w:r>
            <w:hyperlink r:id="rId90" w:history="1">
              <w:r w:rsidRPr="001B55AD">
                <w:rPr>
                  <w:rFonts w:cs="Arial"/>
                  <w:color w:val="1155CC"/>
                  <w:u w:val="single"/>
                </w:rPr>
                <w:t>BOE, 2023b</w:t>
              </w:r>
            </w:hyperlink>
            <w:r w:rsidRPr="001B55AD">
              <w:rPr>
                <w:rFonts w:eastAsia="Calibri" w:cs="Arial"/>
              </w:rPr>
              <w:t>),</w:t>
            </w:r>
            <w:r w:rsidRPr="001B55AD">
              <w:rPr>
                <w:rFonts w:eastAsia="Calibri" w:cs="Arial"/>
                <w:color w:val="000000" w:themeColor="text1"/>
              </w:rPr>
              <w:t xml:space="preserve"> whose original title is Real Decreto Legislativo 1/2007, de 16 de noviembre, por el que se aprueba el texto refundido de la Ley General para la Defensa de los Consumidores y Usuarios y otras leyes complementarias,                                                                       </w:t>
            </w:r>
          </w:p>
          <w:p w14:paraId="0531A281" w14:textId="77777777" w:rsidR="00D03C8B" w:rsidRPr="001B55AD" w:rsidRDefault="00D03C8B" w:rsidP="00D03C8B">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p>
          <w:p w14:paraId="5C33F512" w14:textId="6B2C2056" w:rsidR="00D03C8B" w:rsidRPr="001B55AD" w:rsidRDefault="00D97AF7" w:rsidP="00D03C8B">
            <w:pPr>
              <w:cnfStyle w:val="000000100000" w:firstRow="0" w:lastRow="0" w:firstColumn="0" w:lastColumn="0" w:oddVBand="0" w:evenVBand="0" w:oddHBand="1" w:evenHBand="0" w:firstRowFirstColumn="0" w:firstRowLastColumn="0" w:lastRowFirstColumn="0" w:lastRowLastColumn="0"/>
              <w:rPr>
                <w:rFonts w:cs="Arial"/>
                <w:color w:val="1155CC"/>
                <w:u w:val="single"/>
              </w:rPr>
            </w:pPr>
            <w:r w:rsidRPr="001B55AD">
              <w:rPr>
                <w:rFonts w:eastAsia="Calibri" w:cs="Arial"/>
                <w:color w:val="000000" w:themeColor="text1"/>
              </w:rPr>
              <w:t xml:space="preserve">In recent years, other legislation at </w:t>
            </w:r>
            <w:r w:rsidR="0077205F">
              <w:rPr>
                <w:rFonts w:eastAsia="Calibri" w:cs="Arial"/>
                <w:color w:val="000000" w:themeColor="text1"/>
              </w:rPr>
              <w:t xml:space="preserve">the </w:t>
            </w:r>
            <w:r w:rsidRPr="001B55AD">
              <w:rPr>
                <w:rFonts w:eastAsia="Calibri" w:cs="Arial"/>
                <w:color w:val="000000" w:themeColor="text1"/>
              </w:rPr>
              <w:t xml:space="preserve">national level has modified consumer law, including the Law 3/2014, 27 March (Ley 3/2014, de 27 de marzo in Spanish) </w:t>
            </w:r>
            <w:hyperlink r:id="rId91" w:history="1">
              <w:r w:rsidRPr="001B55AD">
                <w:rPr>
                  <w:rFonts w:eastAsia="Calibri" w:cs="Arial"/>
                  <w:color w:val="1155CC"/>
                  <w:u w:val="single"/>
                </w:rPr>
                <w:t>(BOE, 2014</w:t>
              </w:r>
            </w:hyperlink>
            <w:r w:rsidRPr="001B55AD">
              <w:rPr>
                <w:rFonts w:eastAsia="Calibri" w:cs="Arial"/>
              </w:rPr>
              <w:t xml:space="preserve">).  </w:t>
            </w:r>
            <w:r w:rsidRPr="001B55AD">
              <w:rPr>
                <w:rFonts w:eastAsia="Calibri" w:cs="Arial"/>
                <w:color w:val="000000" w:themeColor="text1"/>
              </w:rPr>
              <w:t>The Law 7/2017, of 2 of November incorporates  the European Union Directive  2013/11/</w:t>
            </w:r>
            <w:r w:rsidRPr="001B55AD">
              <w:rPr>
                <w:rFonts w:cs="Arial"/>
                <w:color w:val="000000" w:themeColor="text1"/>
              </w:rPr>
              <w:t>EU, of</w:t>
            </w:r>
            <w:r w:rsidRPr="001B55AD">
              <w:rPr>
                <w:rFonts w:eastAsia="Calibri" w:cs="Arial"/>
                <w:color w:val="000000" w:themeColor="text1"/>
              </w:rPr>
              <w:t xml:space="preserve"> the European Parliament and Council of the 21</w:t>
            </w:r>
            <w:r w:rsidRPr="001B55AD">
              <w:rPr>
                <w:rFonts w:eastAsia="Calibri" w:cs="Arial"/>
                <w:color w:val="000000" w:themeColor="text1"/>
                <w:vertAlign w:val="superscript"/>
              </w:rPr>
              <w:t>st</w:t>
            </w:r>
            <w:r w:rsidRPr="001B55AD">
              <w:rPr>
                <w:rFonts w:eastAsia="Calibri" w:cs="Arial"/>
                <w:color w:val="000000" w:themeColor="text1"/>
              </w:rPr>
              <w:t xml:space="preserve"> of May 2013, which concerns the resolution of </w:t>
            </w:r>
            <w:r w:rsidRPr="001B55AD">
              <w:rPr>
                <w:rFonts w:cs="Arial"/>
                <w:color w:val="000000" w:themeColor="text1"/>
              </w:rPr>
              <w:t>lawsuits</w:t>
            </w:r>
            <w:r w:rsidRPr="001B55AD">
              <w:rPr>
                <w:rFonts w:eastAsia="Calibri" w:cs="Arial"/>
                <w:color w:val="000000" w:themeColor="text1"/>
              </w:rPr>
              <w:t xml:space="preserve"> in matters of consumerism (Ley 7/2017, de 2 de noviembre, por la que se incorpora al ordenamiento jurídico español la Directiva 2013/11/UE, del Parlamento Europeo y del Consejo, de 21 de mayo de 2013, relativa a la resolución alternativa de litigios en materia de consumo in Spanish</w:t>
            </w:r>
            <w:r w:rsidRPr="001B55AD">
              <w:rPr>
                <w:rFonts w:eastAsia="Calibri" w:cs="Arial"/>
              </w:rPr>
              <w:t>)</w:t>
            </w:r>
            <w:r w:rsidRPr="001B55AD">
              <w:rPr>
                <w:rFonts w:cs="Arial"/>
              </w:rPr>
              <w:t xml:space="preserve"> (</w:t>
            </w:r>
            <w:hyperlink r:id="rId92" w:history="1">
              <w:r w:rsidRPr="001B55AD">
                <w:rPr>
                  <w:rFonts w:cs="Arial"/>
                  <w:color w:val="1155CC"/>
                  <w:u w:val="single"/>
                </w:rPr>
                <w:t>BOE, 2013)</w:t>
              </w:r>
            </w:hyperlink>
          </w:p>
          <w:p w14:paraId="759BBA28" w14:textId="77777777" w:rsidR="00E6608A" w:rsidRPr="001B55AD" w:rsidRDefault="00E6608A" w:rsidP="00E6608A">
            <w:pPr>
              <w:cnfStyle w:val="000000100000" w:firstRow="0" w:lastRow="0" w:firstColumn="0" w:lastColumn="0" w:oddVBand="0" w:evenVBand="0" w:oddHBand="1" w:evenHBand="0" w:firstRowFirstColumn="0" w:firstRowLastColumn="0" w:lastRowFirstColumn="0" w:lastRowLastColumn="0"/>
              <w:rPr>
                <w:rFonts w:cs="Arial"/>
              </w:rPr>
            </w:pPr>
          </w:p>
          <w:p w14:paraId="7241795A" w14:textId="77777777" w:rsidR="009721DE" w:rsidRPr="001B55AD" w:rsidRDefault="00D97AF7" w:rsidP="0079455A">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1B55AD">
              <w:rPr>
                <w:rFonts w:cs="Arial"/>
              </w:rPr>
              <w:t xml:space="preserve">Minors are specifically protected by advertising law. </w:t>
            </w:r>
            <w:r w:rsidR="0079455A" w:rsidRPr="001B55AD">
              <w:rPr>
                <w:rFonts w:eastAsia="Calibri" w:cs="Arial"/>
                <w:color w:val="000000" w:themeColor="text1"/>
              </w:rPr>
              <w:t xml:space="preserve">The advertisement of tobacco, alcohol, food, gambling, therapeutic goods and services also have specific regulations (GALA, 2019).  </w:t>
            </w:r>
          </w:p>
          <w:p w14:paraId="54D97664" w14:textId="77777777" w:rsidR="001B55AD" w:rsidRPr="001B55AD" w:rsidRDefault="001B55AD" w:rsidP="0079455A">
            <w:pPr>
              <w:cnfStyle w:val="000000100000" w:firstRow="0" w:lastRow="0" w:firstColumn="0" w:lastColumn="0" w:oddVBand="0" w:evenVBand="0" w:oddHBand="1" w:evenHBand="0" w:firstRowFirstColumn="0" w:firstRowLastColumn="0" w:lastRowFirstColumn="0" w:lastRowLastColumn="0"/>
              <w:rPr>
                <w:rFonts w:eastAsia="Calibri" w:cs="Arial"/>
              </w:rPr>
            </w:pPr>
          </w:p>
          <w:p w14:paraId="359FCE8B" w14:textId="77777777" w:rsidR="001B55AD" w:rsidRPr="001B55AD" w:rsidRDefault="00D97AF7"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color w:val="111111"/>
                <w:sz w:val="22"/>
                <w:szCs w:val="22"/>
                <w:highlight w:val="white"/>
              </w:rPr>
            </w:pPr>
            <w:r w:rsidRPr="001B55AD">
              <w:rPr>
                <w:rFonts w:ascii="Arial" w:hAnsi="Arial" w:cs="Arial"/>
                <w:i/>
                <w:iCs/>
                <w:color w:val="111111"/>
                <w:sz w:val="22"/>
                <w:szCs w:val="22"/>
                <w:highlight w:val="white"/>
              </w:rPr>
              <w:t>Alcohol</w:t>
            </w:r>
            <w:r w:rsidRPr="001B55AD">
              <w:rPr>
                <w:rFonts w:ascii="Arial" w:hAnsi="Arial" w:cs="Arial"/>
                <w:color w:val="111111"/>
                <w:sz w:val="22"/>
                <w:szCs w:val="22"/>
                <w:highlight w:val="white"/>
              </w:rPr>
              <w:t>: The General Advertising Law restricts advertising of alcoholic beverages through several techniques, such as restrictions on alcohol content and time of broadcast. Spanish alcohol producers of beer, wine and spirits have created their own self-regulatory norms.</w:t>
            </w:r>
          </w:p>
          <w:p w14:paraId="4EC379C5" w14:textId="77777777" w:rsidR="001B55AD" w:rsidRPr="001B55AD" w:rsidRDefault="001B55AD"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color w:val="111111"/>
                <w:sz w:val="22"/>
                <w:szCs w:val="22"/>
                <w:highlight w:val="white"/>
              </w:rPr>
            </w:pPr>
          </w:p>
          <w:p w14:paraId="3C235B26" w14:textId="48EB326B" w:rsidR="001B55AD" w:rsidRPr="001B55AD" w:rsidRDefault="00D97AF7" w:rsidP="001B55AD">
            <w:pPr>
              <w:cnfStyle w:val="000000100000" w:firstRow="0" w:lastRow="0" w:firstColumn="0" w:lastColumn="0" w:oddVBand="0" w:evenVBand="0" w:oddHBand="1" w:evenHBand="0" w:firstRowFirstColumn="0" w:firstRowLastColumn="0" w:lastRowFirstColumn="0" w:lastRowLastColumn="0"/>
              <w:rPr>
                <w:rFonts w:cs="Arial"/>
                <w:color w:val="111111"/>
              </w:rPr>
            </w:pPr>
            <w:r w:rsidRPr="001B55AD">
              <w:rPr>
                <w:rFonts w:cs="Arial"/>
                <w:i/>
                <w:iCs/>
                <w:color w:val="111111"/>
                <w:highlight w:val="white"/>
                <w:lang w:val="es-ES"/>
              </w:rPr>
              <w:t>Tobacco</w:t>
            </w:r>
            <w:r w:rsidRPr="001B55AD">
              <w:rPr>
                <w:rFonts w:cs="Arial"/>
                <w:color w:val="111111"/>
                <w:highlight w:val="white"/>
                <w:lang w:val="es-ES"/>
              </w:rPr>
              <w:t>: The Tobacco Law 42/2010 [</w:t>
            </w:r>
            <w:r w:rsidRPr="001B55AD">
              <w:rPr>
                <w:rFonts w:cs="Arial"/>
                <w:i/>
                <w:lang w:val="es-ES"/>
              </w:rPr>
              <w:t>Ley 42/2010, de 30 de diciembre, por la que se modifica la Ley 28/2005, de 26 de diciembre, de medidas sanitarias frente al tabaquismo y reguladora de la venta, el suministro, el consumo y la publicidad de los productos del tabaco</w:t>
            </w:r>
            <w:r w:rsidRPr="001B55AD">
              <w:rPr>
                <w:rFonts w:cs="Arial"/>
                <w:color w:val="111111"/>
                <w:highlight w:val="white"/>
                <w:lang w:val="es-ES"/>
              </w:rPr>
              <w:t>] (</w:t>
            </w:r>
            <w:hyperlink r:id="rId93" w:history="1">
              <w:r w:rsidRPr="001B55AD">
                <w:rPr>
                  <w:rStyle w:val="Hyperlink"/>
                  <w:rFonts w:cs="Arial"/>
                  <w:highlight w:val="white"/>
                  <w:lang w:val="es-ES"/>
                </w:rPr>
                <w:t>BOE, 2010a</w:t>
              </w:r>
            </w:hyperlink>
            <w:r w:rsidRPr="001B55AD">
              <w:rPr>
                <w:rFonts w:cs="Arial"/>
                <w:color w:val="111111"/>
                <w:highlight w:val="white"/>
                <w:lang w:val="es-ES"/>
              </w:rPr>
              <w:t xml:space="preserve">) prohibits sponsorship, advertising, and promotion of tobacco products across any media and mediums. </w:t>
            </w:r>
            <w:r w:rsidRPr="001B55AD">
              <w:rPr>
                <w:rFonts w:cs="Arial"/>
                <w:color w:val="111111"/>
                <w:highlight w:val="white"/>
              </w:rPr>
              <w:t xml:space="preserve">There are exceptions for </w:t>
            </w:r>
            <w:r w:rsidR="0077205F">
              <w:rPr>
                <w:rFonts w:cs="Arial"/>
                <w:color w:val="111111"/>
                <w:highlight w:val="white"/>
              </w:rPr>
              <w:t>s</w:t>
            </w:r>
            <w:r w:rsidRPr="001B55AD">
              <w:rPr>
                <w:rFonts w:cs="Arial"/>
                <w:color w:val="111111"/>
                <w:highlight w:val="white"/>
              </w:rPr>
              <w:t>pecific cases</w:t>
            </w:r>
            <w:r w:rsidR="0077205F">
              <w:rPr>
                <w:rFonts w:cs="Arial"/>
                <w:color w:val="111111"/>
                <w:highlight w:val="white"/>
              </w:rPr>
              <w:t>,</w:t>
            </w:r>
            <w:r w:rsidRPr="001B55AD">
              <w:rPr>
                <w:rFonts w:cs="Arial"/>
                <w:color w:val="111111"/>
                <w:highlight w:val="white"/>
              </w:rPr>
              <w:t xml:space="preserve"> such </w:t>
            </w:r>
            <w:r w:rsidRPr="001B55AD">
              <w:rPr>
                <w:rFonts w:cs="Arial"/>
                <w:color w:val="111111"/>
                <w:highlight w:val="white"/>
              </w:rPr>
              <w:lastRenderedPageBreak/>
              <w:t>as promotions in specialised tobacco shops and publications for professional</w:t>
            </w:r>
            <w:r w:rsidR="0077205F">
              <w:rPr>
                <w:rFonts w:cs="Arial"/>
                <w:color w:val="111111"/>
                <w:highlight w:val="white"/>
              </w:rPr>
              <w:t>s</w:t>
            </w:r>
            <w:r w:rsidRPr="001B55AD">
              <w:rPr>
                <w:rFonts w:cs="Arial"/>
                <w:color w:val="111111"/>
                <w:highlight w:val="white"/>
              </w:rPr>
              <w:t xml:space="preserve"> of the sector.</w:t>
            </w:r>
          </w:p>
          <w:p w14:paraId="336C9FD1" w14:textId="77777777" w:rsidR="001B55AD" w:rsidRPr="001B55AD" w:rsidRDefault="001B55AD" w:rsidP="001B55AD">
            <w:pPr>
              <w:cnfStyle w:val="000000100000" w:firstRow="0" w:lastRow="0" w:firstColumn="0" w:lastColumn="0" w:oddVBand="0" w:evenVBand="0" w:oddHBand="1" w:evenHBand="0" w:firstRowFirstColumn="0" w:firstRowLastColumn="0" w:lastRowFirstColumn="0" w:lastRowLastColumn="0"/>
              <w:rPr>
                <w:rFonts w:cs="Arial"/>
                <w:color w:val="111111"/>
              </w:rPr>
            </w:pPr>
          </w:p>
          <w:p w14:paraId="693BD4B0" w14:textId="35904785" w:rsidR="001B55AD" w:rsidRPr="001B55AD" w:rsidRDefault="00D97AF7" w:rsidP="001B55AD">
            <w:pPr>
              <w:cnfStyle w:val="000000100000" w:firstRow="0" w:lastRow="0" w:firstColumn="0" w:lastColumn="0" w:oddVBand="0" w:evenVBand="0" w:oddHBand="1" w:evenHBand="0" w:firstRowFirstColumn="0" w:firstRowLastColumn="0" w:lastRowFirstColumn="0" w:lastRowLastColumn="0"/>
              <w:rPr>
                <w:rFonts w:cs="Arial"/>
                <w:color w:val="111111"/>
              </w:rPr>
            </w:pPr>
            <w:r w:rsidRPr="001B55AD">
              <w:rPr>
                <w:rFonts w:cs="Arial"/>
                <w:i/>
                <w:iCs/>
                <w:color w:val="111111"/>
                <w:highlight w:val="white"/>
              </w:rPr>
              <w:t>Therapeutic goods and services</w:t>
            </w:r>
            <w:r w:rsidRPr="001B55AD">
              <w:rPr>
                <w:rFonts w:cs="Arial"/>
                <w:color w:val="111111"/>
                <w:highlight w:val="white"/>
              </w:rPr>
              <w:t>: In this case, the Royal Decree 1907/1996 [</w:t>
            </w:r>
            <w:r w:rsidRPr="001B55AD">
              <w:rPr>
                <w:rFonts w:cs="Arial"/>
                <w:color w:val="111111"/>
              </w:rPr>
              <w:t xml:space="preserve">Real Decreto 1907/1996, de 2 de agosto, sobre publicidad y promoción comercial de productos, actividades o servicios con pretendida finalidad sanitaria </w:t>
            </w:r>
            <w:r w:rsidRPr="001B55AD">
              <w:rPr>
                <w:rFonts w:cs="Arial"/>
                <w:color w:val="111111"/>
                <w:highlight w:val="white"/>
              </w:rPr>
              <w:t>(</w:t>
            </w:r>
            <w:hyperlink r:id="rId94" w:history="1">
              <w:r w:rsidRPr="001B55AD">
                <w:rPr>
                  <w:rStyle w:val="Hyperlink"/>
                  <w:rFonts w:cs="Arial"/>
                  <w:highlight w:val="white"/>
                </w:rPr>
                <w:t>BOE, 1996a</w:t>
              </w:r>
            </w:hyperlink>
            <w:r w:rsidRPr="001B55AD">
              <w:rPr>
                <w:rFonts w:cs="Arial"/>
                <w:color w:val="111111"/>
                <w:highlight w:val="white"/>
              </w:rPr>
              <w:t>) sets restrictions and bans in the advertising of products, energies, materials</w:t>
            </w:r>
            <w:r w:rsidR="009335BE">
              <w:rPr>
                <w:rFonts w:cs="Arial"/>
                <w:color w:val="111111"/>
                <w:highlight w:val="white"/>
              </w:rPr>
              <w:t>,</w:t>
            </w:r>
            <w:r w:rsidRPr="001B55AD">
              <w:rPr>
                <w:rFonts w:cs="Arial"/>
                <w:color w:val="111111"/>
                <w:highlight w:val="white"/>
              </w:rPr>
              <w:t xml:space="preserve"> substances</w:t>
            </w:r>
            <w:r w:rsidR="009335BE">
              <w:rPr>
                <w:rFonts w:cs="Arial"/>
                <w:color w:val="111111"/>
                <w:highlight w:val="white"/>
              </w:rPr>
              <w:t>,</w:t>
            </w:r>
            <w:r w:rsidRPr="001B55AD">
              <w:rPr>
                <w:rFonts w:cs="Arial"/>
                <w:color w:val="111111"/>
                <w:highlight w:val="white"/>
              </w:rPr>
              <w:t xml:space="preserve"> or method</w:t>
            </w:r>
            <w:r w:rsidR="009335BE">
              <w:rPr>
                <w:rFonts w:cs="Arial"/>
                <w:color w:val="111111"/>
                <w:highlight w:val="white"/>
              </w:rPr>
              <w:t>s</w:t>
            </w:r>
            <w:r w:rsidRPr="001B55AD">
              <w:rPr>
                <w:rFonts w:cs="Arial"/>
                <w:color w:val="111111"/>
                <w:highlight w:val="white"/>
              </w:rPr>
              <w:t xml:space="preserve"> that are shown as useful for healing. Very clear bans are set in the cases of products that promise and guarantee any relief or healing, as well as the use of the word ‘natural’ whenever it is referring to preventing or therapy kind of p</w:t>
            </w:r>
            <w:r w:rsidR="009335BE">
              <w:rPr>
                <w:rFonts w:cs="Arial"/>
                <w:color w:val="111111"/>
                <w:highlight w:val="white"/>
              </w:rPr>
              <w:t>u</w:t>
            </w:r>
            <w:r w:rsidRPr="001B55AD">
              <w:rPr>
                <w:rFonts w:cs="Arial"/>
                <w:color w:val="111111"/>
                <w:highlight w:val="white"/>
              </w:rPr>
              <w:t>rp</w:t>
            </w:r>
            <w:r w:rsidR="009335BE">
              <w:rPr>
                <w:rFonts w:cs="Arial"/>
                <w:color w:val="111111"/>
                <w:highlight w:val="white"/>
              </w:rPr>
              <w:t>u</w:t>
            </w:r>
            <w:r w:rsidRPr="001B55AD">
              <w:rPr>
                <w:rFonts w:cs="Arial"/>
                <w:color w:val="111111"/>
                <w:highlight w:val="white"/>
              </w:rPr>
              <w:t xml:space="preserve">ses.   </w:t>
            </w:r>
          </w:p>
          <w:p w14:paraId="375B53E2" w14:textId="09ED26B0" w:rsidR="001B55AD" w:rsidRPr="001B55AD" w:rsidRDefault="00D97AF7"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color w:val="111111"/>
                <w:sz w:val="22"/>
                <w:szCs w:val="22"/>
                <w:highlight w:val="white"/>
              </w:rPr>
            </w:pPr>
            <w:r w:rsidRPr="001B55AD">
              <w:rPr>
                <w:rFonts w:ascii="Arial" w:hAnsi="Arial" w:cs="Arial"/>
                <w:i/>
                <w:iCs/>
                <w:color w:val="111111"/>
                <w:sz w:val="22"/>
                <w:szCs w:val="22"/>
                <w:highlight w:val="white"/>
              </w:rPr>
              <w:t>Food</w:t>
            </w:r>
            <w:r w:rsidRPr="001B55AD">
              <w:rPr>
                <w:rFonts w:ascii="Arial" w:hAnsi="Arial" w:cs="Arial"/>
                <w:color w:val="111111"/>
                <w:sz w:val="22"/>
                <w:szCs w:val="22"/>
                <w:highlight w:val="white"/>
              </w:rPr>
              <w:t>: Spanish legislation, including the Royal Decree 1334/1999 [</w:t>
            </w:r>
            <w:r w:rsidRPr="001B55AD">
              <w:rPr>
                <w:rFonts w:ascii="Arial" w:hAnsi="Arial" w:cs="Arial"/>
                <w:color w:val="111111"/>
                <w:sz w:val="22"/>
                <w:szCs w:val="22"/>
              </w:rPr>
              <w:t>Real Decreto 1334/1999, de 31 de julio, por el que se aprueba la Norma general de etiquetado, presentación y publicidad de los productos alimenticios</w:t>
            </w:r>
            <w:r w:rsidRPr="001B55AD">
              <w:rPr>
                <w:rFonts w:ascii="Arial" w:hAnsi="Arial" w:cs="Arial"/>
                <w:color w:val="111111"/>
                <w:sz w:val="22"/>
                <w:szCs w:val="22"/>
                <w:highlight w:val="white"/>
              </w:rPr>
              <w:t>] (</w:t>
            </w:r>
            <w:hyperlink w:history="1">
              <w:r w:rsidRPr="001B55AD">
                <w:rPr>
                  <w:rStyle w:val="Hyperlink"/>
                  <w:rFonts w:ascii="Arial" w:hAnsi="Arial" w:cs="Arial"/>
                  <w:sz w:val="22"/>
                  <w:szCs w:val="22"/>
                  <w:highlight w:val="white"/>
                </w:rPr>
                <w:t>BOE, 1999</w:t>
              </w:r>
            </w:hyperlink>
            <w:r w:rsidRPr="001B55AD">
              <w:rPr>
                <w:rFonts w:ascii="Arial" w:hAnsi="Arial" w:cs="Arial"/>
                <w:color w:val="111111"/>
                <w:sz w:val="22"/>
                <w:szCs w:val="22"/>
                <w:highlight w:val="white"/>
              </w:rPr>
              <w:t>) and the Law 17/2011 [</w:t>
            </w:r>
            <w:r w:rsidRPr="001B55AD">
              <w:rPr>
                <w:rFonts w:ascii="Arial" w:hAnsi="Arial" w:cs="Arial"/>
                <w:color w:val="111111"/>
                <w:sz w:val="22"/>
                <w:szCs w:val="22"/>
              </w:rPr>
              <w:t>Ley 17/2011, de 5 de julio, de seguridad alimentaria y nutrición</w:t>
            </w:r>
            <w:r w:rsidRPr="001B55AD">
              <w:rPr>
                <w:rFonts w:ascii="Arial" w:hAnsi="Arial" w:cs="Arial"/>
                <w:color w:val="111111"/>
                <w:sz w:val="22"/>
                <w:szCs w:val="22"/>
                <w:highlight w:val="white"/>
              </w:rPr>
              <w:t>] (</w:t>
            </w:r>
            <w:hyperlink r:id="rId95" w:history="1">
              <w:r w:rsidRPr="001B55AD">
                <w:rPr>
                  <w:rStyle w:val="Hyperlink"/>
                  <w:rFonts w:ascii="Arial" w:hAnsi="Arial" w:cs="Arial"/>
                  <w:sz w:val="22"/>
                  <w:szCs w:val="22"/>
                  <w:highlight w:val="white"/>
                </w:rPr>
                <w:t>BOE, 2011a</w:t>
              </w:r>
            </w:hyperlink>
            <w:r w:rsidRPr="001B55AD">
              <w:rPr>
                <w:rFonts w:ascii="Arial" w:hAnsi="Arial" w:cs="Arial"/>
                <w:color w:val="111111"/>
                <w:sz w:val="22"/>
                <w:szCs w:val="22"/>
                <w:highlight w:val="white"/>
              </w:rPr>
              <w:t>) are responsible for establishing food safety rules, as well as nutrition and health</w:t>
            </w:r>
            <w:r w:rsidR="009335BE">
              <w:rPr>
                <w:rFonts w:ascii="Arial" w:hAnsi="Arial" w:cs="Arial"/>
                <w:color w:val="111111"/>
                <w:sz w:val="22"/>
                <w:szCs w:val="22"/>
                <w:highlight w:val="white"/>
              </w:rPr>
              <w:t xml:space="preserve">-related </w:t>
            </w:r>
            <w:r w:rsidRPr="001B55AD">
              <w:rPr>
                <w:rFonts w:ascii="Arial" w:hAnsi="Arial" w:cs="Arial"/>
                <w:color w:val="111111"/>
                <w:sz w:val="22"/>
                <w:szCs w:val="22"/>
                <w:highlight w:val="white"/>
              </w:rPr>
              <w:t>claims made in advertisement</w:t>
            </w:r>
            <w:r w:rsidR="009335BE">
              <w:rPr>
                <w:rFonts w:ascii="Arial" w:hAnsi="Arial" w:cs="Arial"/>
                <w:color w:val="111111"/>
                <w:sz w:val="22"/>
                <w:szCs w:val="22"/>
                <w:highlight w:val="white"/>
              </w:rPr>
              <w:t>.</w:t>
            </w:r>
            <w:r w:rsidRPr="001B55AD">
              <w:rPr>
                <w:rFonts w:ascii="Arial" w:hAnsi="Arial" w:cs="Arial"/>
                <w:color w:val="111111"/>
                <w:sz w:val="22"/>
                <w:szCs w:val="22"/>
                <w:highlight w:val="white"/>
              </w:rPr>
              <w:t xml:space="preserve"> These laws show that the presentation and proper advertisement of the food itself must not deceive consumers about the products characteristics, including its properties, effects</w:t>
            </w:r>
            <w:r w:rsidR="009335BE">
              <w:rPr>
                <w:rFonts w:ascii="Arial" w:hAnsi="Arial" w:cs="Arial"/>
                <w:color w:val="111111"/>
                <w:sz w:val="22"/>
                <w:szCs w:val="22"/>
                <w:highlight w:val="white"/>
              </w:rPr>
              <w:t>,</w:t>
            </w:r>
            <w:r w:rsidRPr="001B55AD">
              <w:rPr>
                <w:rFonts w:ascii="Arial" w:hAnsi="Arial" w:cs="Arial"/>
                <w:color w:val="111111"/>
                <w:sz w:val="22"/>
                <w:szCs w:val="22"/>
                <w:highlight w:val="white"/>
              </w:rPr>
              <w:t xml:space="preserve"> and any specific detail that could be considered as special.</w:t>
            </w:r>
          </w:p>
          <w:p w14:paraId="45ADC6D0" w14:textId="77777777" w:rsidR="001B55AD" w:rsidRDefault="001B55AD"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color w:val="111111"/>
                <w:sz w:val="22"/>
                <w:szCs w:val="22"/>
                <w:highlight w:val="white"/>
              </w:rPr>
            </w:pPr>
          </w:p>
          <w:p w14:paraId="36B0FEDE" w14:textId="370E7244" w:rsidR="001B55AD" w:rsidRPr="001B55AD" w:rsidRDefault="00D97AF7"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color w:val="111111"/>
                <w:sz w:val="22"/>
                <w:szCs w:val="22"/>
                <w:highlight w:val="white"/>
              </w:rPr>
            </w:pPr>
            <w:r w:rsidRPr="001B55AD">
              <w:rPr>
                <w:rFonts w:ascii="Arial" w:hAnsi="Arial" w:cs="Arial"/>
                <w:i/>
                <w:iCs/>
                <w:color w:val="111111"/>
                <w:sz w:val="22"/>
                <w:szCs w:val="22"/>
                <w:highlight w:val="white"/>
              </w:rPr>
              <w:t>Gambling</w:t>
            </w:r>
            <w:r w:rsidRPr="001B55AD">
              <w:rPr>
                <w:rFonts w:ascii="Arial" w:hAnsi="Arial" w:cs="Arial"/>
                <w:color w:val="111111"/>
                <w:sz w:val="22"/>
                <w:szCs w:val="22"/>
                <w:highlight w:val="white"/>
              </w:rPr>
              <w:t>: Related to gabling, those in the gambling sector must have a certificate permi</w:t>
            </w:r>
            <w:r w:rsidR="009335BE">
              <w:rPr>
                <w:rFonts w:ascii="Arial" w:hAnsi="Arial" w:cs="Arial"/>
                <w:color w:val="111111"/>
                <w:sz w:val="22"/>
                <w:szCs w:val="22"/>
                <w:highlight w:val="white"/>
              </w:rPr>
              <w:t>t</w:t>
            </w:r>
            <w:r w:rsidRPr="001B55AD">
              <w:rPr>
                <w:rFonts w:ascii="Arial" w:hAnsi="Arial" w:cs="Arial"/>
                <w:color w:val="111111"/>
                <w:sz w:val="22"/>
                <w:szCs w:val="22"/>
                <w:highlight w:val="white"/>
              </w:rPr>
              <w:t xml:space="preserve"> that allows them to develop advertising, sponsorship</w:t>
            </w:r>
            <w:r w:rsidR="002F284E">
              <w:rPr>
                <w:rFonts w:ascii="Arial" w:hAnsi="Arial" w:cs="Arial"/>
                <w:color w:val="111111"/>
                <w:sz w:val="22"/>
                <w:szCs w:val="22"/>
                <w:highlight w:val="white"/>
              </w:rPr>
              <w:t>,</w:t>
            </w:r>
            <w:r w:rsidRPr="001B55AD">
              <w:rPr>
                <w:rFonts w:ascii="Arial" w:hAnsi="Arial" w:cs="Arial"/>
                <w:color w:val="111111"/>
                <w:sz w:val="22"/>
                <w:szCs w:val="22"/>
                <w:highlight w:val="white"/>
              </w:rPr>
              <w:t xml:space="preserve"> or promotion. In this case</w:t>
            </w:r>
            <w:r w:rsidR="002F284E">
              <w:rPr>
                <w:rFonts w:ascii="Arial" w:hAnsi="Arial" w:cs="Arial"/>
                <w:color w:val="111111"/>
                <w:sz w:val="22"/>
                <w:szCs w:val="22"/>
                <w:highlight w:val="white"/>
              </w:rPr>
              <w:t>,</w:t>
            </w:r>
            <w:r w:rsidRPr="001B55AD">
              <w:rPr>
                <w:rFonts w:ascii="Arial" w:hAnsi="Arial" w:cs="Arial"/>
                <w:color w:val="111111"/>
                <w:sz w:val="22"/>
                <w:szCs w:val="22"/>
                <w:highlight w:val="white"/>
              </w:rPr>
              <w:t xml:space="preserve"> the main norm is the Gambling Act 13/2011 [</w:t>
            </w:r>
            <w:r w:rsidRPr="001B55AD">
              <w:rPr>
                <w:rFonts w:ascii="Arial" w:hAnsi="Arial" w:cs="Arial"/>
                <w:color w:val="111111"/>
                <w:sz w:val="22"/>
                <w:szCs w:val="22"/>
              </w:rPr>
              <w:t>Ley 13/2011, de 27 de mayo, de regulación del juego</w:t>
            </w:r>
            <w:r w:rsidRPr="001B55AD">
              <w:rPr>
                <w:rFonts w:ascii="Arial" w:hAnsi="Arial" w:cs="Arial"/>
                <w:color w:val="111111"/>
                <w:sz w:val="22"/>
                <w:szCs w:val="22"/>
                <w:highlight w:val="white"/>
              </w:rPr>
              <w:t>] (</w:t>
            </w:r>
            <w:hyperlink r:id="rId96" w:history="1">
              <w:r w:rsidRPr="001B55AD">
                <w:rPr>
                  <w:rStyle w:val="Hyperlink"/>
                  <w:rFonts w:ascii="Arial" w:hAnsi="Arial" w:cs="Arial"/>
                  <w:sz w:val="22"/>
                  <w:szCs w:val="22"/>
                  <w:highlight w:val="white"/>
                </w:rPr>
                <w:t>BOE, 2011b</w:t>
              </w:r>
            </w:hyperlink>
            <w:r w:rsidRPr="001B55AD">
              <w:rPr>
                <w:rFonts w:ascii="Arial" w:hAnsi="Arial" w:cs="Arial"/>
                <w:color w:val="111111"/>
                <w:sz w:val="22"/>
                <w:szCs w:val="22"/>
                <w:highlight w:val="white"/>
              </w:rPr>
              <w:t>), that is supp</w:t>
            </w:r>
            <w:r w:rsidR="002F284E">
              <w:rPr>
                <w:rFonts w:ascii="Arial" w:hAnsi="Arial" w:cs="Arial"/>
                <w:color w:val="111111"/>
                <w:sz w:val="22"/>
                <w:szCs w:val="22"/>
                <w:highlight w:val="white"/>
              </w:rPr>
              <w:t>lemented</w:t>
            </w:r>
            <w:r w:rsidRPr="001B55AD">
              <w:rPr>
                <w:rFonts w:ascii="Arial" w:hAnsi="Arial" w:cs="Arial"/>
                <w:color w:val="111111"/>
                <w:sz w:val="22"/>
                <w:szCs w:val="22"/>
                <w:highlight w:val="white"/>
              </w:rPr>
              <w:t xml:space="preserve"> by regional laws for for activities limited to a single region (Autonomous Community). The Code of Conduct on Advertising of Gambling Activities establishes additional rules on game operators, making</w:t>
            </w:r>
            <w:r w:rsidR="002F284E">
              <w:rPr>
                <w:rFonts w:ascii="Arial" w:hAnsi="Arial" w:cs="Arial"/>
                <w:color w:val="111111"/>
                <w:sz w:val="22"/>
                <w:szCs w:val="22"/>
                <w:highlight w:val="white"/>
              </w:rPr>
              <w:t xml:space="preserve"> it</w:t>
            </w:r>
            <w:r w:rsidRPr="001B55AD">
              <w:rPr>
                <w:rFonts w:ascii="Arial" w:hAnsi="Arial" w:cs="Arial"/>
                <w:color w:val="111111"/>
                <w:sz w:val="22"/>
                <w:szCs w:val="22"/>
                <w:highlight w:val="white"/>
              </w:rPr>
              <w:t xml:space="preserve"> essential for them to meet principles of veracity, legality, and loyalty. Following this, advertisement</w:t>
            </w:r>
            <w:r w:rsidR="002F284E">
              <w:rPr>
                <w:rFonts w:ascii="Arial" w:hAnsi="Arial" w:cs="Arial"/>
                <w:color w:val="111111"/>
                <w:sz w:val="22"/>
                <w:szCs w:val="22"/>
                <w:highlight w:val="white"/>
              </w:rPr>
              <w:t>s</w:t>
            </w:r>
            <w:r w:rsidRPr="001B55AD">
              <w:rPr>
                <w:rFonts w:ascii="Arial" w:hAnsi="Arial" w:cs="Arial"/>
                <w:color w:val="111111"/>
                <w:sz w:val="22"/>
                <w:szCs w:val="22"/>
                <w:highlight w:val="white"/>
              </w:rPr>
              <w:t xml:space="preserve"> must highlight the importance of social responsibility and, in addition, guarantee the protections of minors.</w:t>
            </w:r>
          </w:p>
          <w:p w14:paraId="3F2E544E" w14:textId="77777777" w:rsidR="001B55AD" w:rsidRDefault="001B55AD"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color w:val="111111"/>
                <w:sz w:val="22"/>
                <w:szCs w:val="22"/>
                <w:highlight w:val="white"/>
              </w:rPr>
            </w:pPr>
          </w:p>
          <w:p w14:paraId="6F64FD04" w14:textId="403E7911" w:rsidR="001B55AD" w:rsidRPr="001B55AD" w:rsidRDefault="00D97AF7"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color w:val="111111"/>
                <w:sz w:val="22"/>
                <w:szCs w:val="22"/>
                <w:highlight w:val="white"/>
              </w:rPr>
            </w:pPr>
            <w:r w:rsidRPr="001B55AD">
              <w:rPr>
                <w:rFonts w:ascii="Arial" w:hAnsi="Arial" w:cs="Arial"/>
                <w:i/>
                <w:iCs/>
                <w:color w:val="111111"/>
                <w:sz w:val="22"/>
                <w:szCs w:val="22"/>
                <w:highlight w:val="white"/>
              </w:rPr>
              <w:t>Lotteries</w:t>
            </w:r>
            <w:r w:rsidRPr="001B55AD">
              <w:rPr>
                <w:rFonts w:ascii="Arial" w:hAnsi="Arial" w:cs="Arial"/>
                <w:color w:val="111111"/>
                <w:sz w:val="22"/>
                <w:szCs w:val="22"/>
                <w:highlight w:val="white"/>
              </w:rPr>
              <w:t>: Regarding lotteries, these type of activit</w:t>
            </w:r>
            <w:r w:rsidR="002F284E">
              <w:rPr>
                <w:rFonts w:ascii="Arial" w:hAnsi="Arial" w:cs="Arial"/>
                <w:color w:val="111111"/>
                <w:sz w:val="22"/>
                <w:szCs w:val="22"/>
                <w:highlight w:val="white"/>
              </w:rPr>
              <w:t>ies</w:t>
            </w:r>
            <w:r w:rsidRPr="001B55AD">
              <w:rPr>
                <w:rFonts w:ascii="Arial" w:hAnsi="Arial" w:cs="Arial"/>
                <w:color w:val="111111"/>
                <w:sz w:val="22"/>
                <w:szCs w:val="22"/>
                <w:highlight w:val="white"/>
              </w:rPr>
              <w:t xml:space="preserve"> rest only in the state</w:t>
            </w:r>
            <w:r w:rsidR="002F284E">
              <w:rPr>
                <w:rFonts w:ascii="Arial" w:hAnsi="Arial" w:cs="Arial"/>
                <w:color w:val="111111"/>
                <w:sz w:val="22"/>
                <w:szCs w:val="22"/>
                <w:highlight w:val="white"/>
              </w:rPr>
              <w:t xml:space="preserve">, which means that betting </w:t>
            </w:r>
            <w:r w:rsidRPr="001B55AD">
              <w:rPr>
                <w:rFonts w:ascii="Arial" w:hAnsi="Arial" w:cs="Arial"/>
                <w:color w:val="111111"/>
                <w:sz w:val="22"/>
                <w:szCs w:val="22"/>
                <w:highlight w:val="white"/>
              </w:rPr>
              <w:t xml:space="preserve">societies can also include national lotteries. The Government is the institution that manages the lottery as well as the marketing of this types of games, making sure they </w:t>
            </w:r>
            <w:r w:rsidR="002F284E">
              <w:rPr>
                <w:rFonts w:ascii="Arial" w:hAnsi="Arial" w:cs="Arial"/>
                <w:color w:val="111111"/>
                <w:sz w:val="22"/>
                <w:szCs w:val="22"/>
                <w:highlight w:val="white"/>
              </w:rPr>
              <w:t>are undertaken</w:t>
            </w:r>
            <w:r w:rsidRPr="001B55AD">
              <w:rPr>
                <w:rFonts w:ascii="Arial" w:hAnsi="Arial" w:cs="Arial"/>
                <w:color w:val="111111"/>
                <w:sz w:val="22"/>
                <w:szCs w:val="22"/>
                <w:highlight w:val="white"/>
              </w:rPr>
              <w:t xml:space="preserve"> by non-profit institutions with charitable objectives, are</w:t>
            </w:r>
            <w:r w:rsidRPr="001B55AD">
              <w:rPr>
                <w:rFonts w:ascii="Arial" w:hAnsi="Arial" w:cs="Arial"/>
                <w:color w:val="111111"/>
                <w:sz w:val="22"/>
                <w:szCs w:val="22"/>
              </w:rPr>
              <w:t xml:space="preserve"> </w:t>
            </w:r>
            <w:r w:rsidRPr="001B55AD">
              <w:rPr>
                <w:rFonts w:ascii="Arial" w:hAnsi="Arial" w:cs="Arial"/>
                <w:color w:val="111111"/>
                <w:sz w:val="22"/>
                <w:szCs w:val="22"/>
                <w:highlight w:val="white"/>
              </w:rPr>
              <w:t>sporadic</w:t>
            </w:r>
            <w:r w:rsidR="002F284E">
              <w:rPr>
                <w:rFonts w:ascii="Arial" w:hAnsi="Arial" w:cs="Arial"/>
                <w:color w:val="111111"/>
                <w:sz w:val="22"/>
                <w:szCs w:val="22"/>
                <w:highlight w:val="white"/>
              </w:rPr>
              <w:t>,</w:t>
            </w:r>
            <w:r w:rsidRPr="001B55AD">
              <w:rPr>
                <w:rFonts w:ascii="Arial" w:hAnsi="Arial" w:cs="Arial"/>
                <w:color w:val="111111"/>
                <w:sz w:val="22"/>
                <w:szCs w:val="22"/>
                <w:highlight w:val="white"/>
              </w:rPr>
              <w:t xml:space="preserve"> and follow all the legal requirements. The process to gain lottery licensing is different from other type</w:t>
            </w:r>
            <w:r w:rsidR="002F284E">
              <w:rPr>
                <w:rFonts w:ascii="Arial" w:hAnsi="Arial" w:cs="Arial"/>
                <w:color w:val="111111"/>
                <w:sz w:val="22"/>
                <w:szCs w:val="22"/>
                <w:highlight w:val="white"/>
              </w:rPr>
              <w:t>s</w:t>
            </w:r>
            <w:r w:rsidRPr="001B55AD">
              <w:rPr>
                <w:rFonts w:ascii="Arial" w:hAnsi="Arial" w:cs="Arial"/>
                <w:color w:val="111111"/>
                <w:sz w:val="22"/>
                <w:szCs w:val="22"/>
                <w:highlight w:val="white"/>
              </w:rPr>
              <w:t xml:space="preserve"> of gambling activities. </w:t>
            </w:r>
          </w:p>
          <w:p w14:paraId="104B63A3" w14:textId="77777777" w:rsidR="001B55AD" w:rsidRDefault="001B55AD"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color w:val="111111"/>
                <w:sz w:val="22"/>
                <w:szCs w:val="22"/>
                <w:highlight w:val="white"/>
              </w:rPr>
            </w:pPr>
          </w:p>
          <w:p w14:paraId="373A2E52" w14:textId="62F5E8C6" w:rsidR="001B55AD" w:rsidRDefault="00D97AF7"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color w:val="111111"/>
                <w:sz w:val="22"/>
                <w:szCs w:val="22"/>
                <w:highlight w:val="white"/>
              </w:rPr>
            </w:pPr>
            <w:r w:rsidRPr="001B55AD">
              <w:rPr>
                <w:rFonts w:ascii="Arial" w:hAnsi="Arial" w:cs="Arial"/>
                <w:i/>
                <w:iCs/>
                <w:color w:val="111111"/>
                <w:sz w:val="22"/>
                <w:szCs w:val="22"/>
                <w:highlight w:val="white"/>
              </w:rPr>
              <w:lastRenderedPageBreak/>
              <w:t>Financial services</w:t>
            </w:r>
            <w:r w:rsidRPr="001B55AD">
              <w:rPr>
                <w:rFonts w:ascii="Arial" w:hAnsi="Arial" w:cs="Arial"/>
                <w:color w:val="111111"/>
                <w:sz w:val="22"/>
                <w:szCs w:val="22"/>
                <w:highlight w:val="white"/>
              </w:rPr>
              <w:t>: When it comes to advertising this type of services, such as financial investments and products offered by banks</w:t>
            </w:r>
            <w:r w:rsidR="002F284E">
              <w:rPr>
                <w:rFonts w:ascii="Arial" w:hAnsi="Arial" w:cs="Arial"/>
                <w:color w:val="111111"/>
                <w:sz w:val="22"/>
                <w:szCs w:val="22"/>
                <w:highlight w:val="white"/>
              </w:rPr>
              <w:t>,</w:t>
            </w:r>
            <w:r w:rsidRPr="001B55AD">
              <w:rPr>
                <w:rFonts w:ascii="Arial" w:hAnsi="Arial" w:cs="Arial"/>
                <w:color w:val="111111"/>
                <w:sz w:val="22"/>
                <w:szCs w:val="22"/>
                <w:highlight w:val="white"/>
              </w:rPr>
              <w:t xml:space="preserve"> the law that regulate</w:t>
            </w:r>
            <w:r w:rsidR="002F284E">
              <w:rPr>
                <w:rFonts w:ascii="Arial" w:hAnsi="Arial" w:cs="Arial"/>
                <w:color w:val="111111"/>
                <w:sz w:val="22"/>
                <w:szCs w:val="22"/>
                <w:highlight w:val="white"/>
              </w:rPr>
              <w:t>s</w:t>
            </w:r>
            <w:r w:rsidRPr="001B55AD">
              <w:rPr>
                <w:rFonts w:ascii="Arial" w:hAnsi="Arial" w:cs="Arial"/>
                <w:color w:val="111111"/>
                <w:sz w:val="22"/>
                <w:szCs w:val="22"/>
                <w:highlight w:val="white"/>
              </w:rPr>
              <w:t xml:space="preserve"> these activities is </w:t>
            </w:r>
            <w:r w:rsidR="002F284E">
              <w:rPr>
                <w:rFonts w:ascii="Arial" w:hAnsi="Arial" w:cs="Arial"/>
                <w:color w:val="111111"/>
                <w:sz w:val="22"/>
                <w:szCs w:val="22"/>
                <w:highlight w:val="white"/>
              </w:rPr>
              <w:t xml:space="preserve">the </w:t>
            </w:r>
            <w:r w:rsidRPr="001B55AD">
              <w:rPr>
                <w:rFonts w:ascii="Arial" w:hAnsi="Arial" w:cs="Arial"/>
                <w:color w:val="111111"/>
                <w:sz w:val="22"/>
                <w:szCs w:val="22"/>
                <w:highlight w:val="white"/>
              </w:rPr>
              <w:t>Ministerial Decree  1718/2010 [</w:t>
            </w:r>
            <w:r w:rsidRPr="001B55AD">
              <w:rPr>
                <w:rFonts w:ascii="Arial" w:hAnsi="Arial" w:cs="Arial"/>
                <w:color w:val="111111"/>
                <w:sz w:val="22"/>
                <w:szCs w:val="22"/>
              </w:rPr>
              <w:t xml:space="preserve">Orden EHA/1718/2010, de 11 de junio, de regulación y control de la publicidad de los servicios y productos bancarios] </w:t>
            </w:r>
            <w:hyperlink r:id="rId97" w:history="1">
              <w:r w:rsidRPr="001B55AD">
                <w:rPr>
                  <w:rStyle w:val="Hyperlink"/>
                  <w:rFonts w:ascii="Arial" w:hAnsi="Arial" w:cs="Arial"/>
                  <w:sz w:val="22"/>
                  <w:szCs w:val="22"/>
                </w:rPr>
                <w:t>(BOE, 2010b).</w:t>
              </w:r>
            </w:hyperlink>
            <w:r>
              <w:rPr>
                <w:rFonts w:ascii="Arial" w:hAnsi="Arial" w:cs="Arial"/>
                <w:color w:val="111111"/>
                <w:sz w:val="22"/>
                <w:szCs w:val="22"/>
              </w:rPr>
              <w:t xml:space="preserve"> </w:t>
            </w:r>
            <w:r w:rsidRPr="001B55AD">
              <w:rPr>
                <w:rFonts w:ascii="Arial" w:hAnsi="Arial" w:cs="Arial"/>
                <w:color w:val="111111"/>
                <w:sz w:val="22"/>
                <w:szCs w:val="22"/>
              </w:rPr>
              <w:t xml:space="preserve">This law takes care </w:t>
            </w:r>
            <w:r w:rsidR="002F284E">
              <w:rPr>
                <w:rFonts w:ascii="Arial" w:hAnsi="Arial" w:cs="Arial"/>
                <w:color w:val="111111"/>
                <w:sz w:val="22"/>
                <w:szCs w:val="22"/>
              </w:rPr>
              <w:t xml:space="preserve">of </w:t>
            </w:r>
            <w:r w:rsidRPr="001B55AD">
              <w:rPr>
                <w:rFonts w:ascii="Arial" w:hAnsi="Arial" w:cs="Arial"/>
                <w:color w:val="111111"/>
                <w:sz w:val="22"/>
                <w:szCs w:val="22"/>
              </w:rPr>
              <w:t xml:space="preserve">the regulations and supervises the banking products as well as the services, supervised by the financial market authorities such as </w:t>
            </w:r>
            <w:r w:rsidRPr="001B55AD">
              <w:rPr>
                <w:rFonts w:ascii="Arial" w:hAnsi="Arial" w:cs="Arial"/>
                <w:color w:val="111111"/>
                <w:sz w:val="22"/>
                <w:szCs w:val="22"/>
                <w:highlight w:val="white"/>
              </w:rPr>
              <w:t>Banco de España, the Central Spanish Bank, and the ‘CNMV’, which is  the responsible body for the financial market and stock exchange.</w:t>
            </w:r>
          </w:p>
          <w:p w14:paraId="4E0FCBEA" w14:textId="77777777" w:rsidR="001B55AD" w:rsidRPr="001B55AD" w:rsidRDefault="001B55AD" w:rsidP="001B55AD">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white"/>
              </w:rPr>
            </w:pPr>
          </w:p>
          <w:p w14:paraId="4F0EBED3" w14:textId="7509D51D" w:rsidR="001B55AD" w:rsidRPr="00226934" w:rsidRDefault="00D97AF7" w:rsidP="001B55AD">
            <w:pPr>
              <w:cnfStyle w:val="000000100000" w:firstRow="0" w:lastRow="0" w:firstColumn="0" w:lastColumn="0" w:oddVBand="0" w:evenVBand="0" w:oddHBand="1" w:evenHBand="0" w:firstRowFirstColumn="0" w:firstRowLastColumn="0" w:lastRowFirstColumn="0" w:lastRowLastColumn="0"/>
              <w:rPr>
                <w:rFonts w:cs="Arial"/>
                <w:lang w:val="es-ES"/>
              </w:rPr>
            </w:pPr>
            <w:r w:rsidRPr="001B55AD">
              <w:rPr>
                <w:rFonts w:cs="Arial"/>
                <w:i/>
                <w:iCs/>
                <w:color w:val="111111"/>
                <w:highlight w:val="white"/>
              </w:rPr>
              <w:t>Medicines</w:t>
            </w:r>
            <w:r w:rsidRPr="001B55AD">
              <w:rPr>
                <w:rFonts w:cs="Arial"/>
                <w:color w:val="111111"/>
                <w:highlight w:val="white"/>
              </w:rPr>
              <w:t>: When it comes to advertising medicines</w:t>
            </w:r>
            <w:r w:rsidR="002F284E">
              <w:rPr>
                <w:rFonts w:cs="Arial"/>
                <w:color w:val="111111"/>
                <w:highlight w:val="white"/>
              </w:rPr>
              <w:t>,</w:t>
            </w:r>
            <w:r w:rsidRPr="001B55AD">
              <w:rPr>
                <w:rFonts w:cs="Arial"/>
                <w:color w:val="111111"/>
                <w:highlight w:val="white"/>
              </w:rPr>
              <w:t xml:space="preserve"> the sector is highly regulated and monitored, in this case by the Health Administrations (national and regional). </w:t>
            </w:r>
            <w:r w:rsidRPr="001B55AD">
              <w:rPr>
                <w:rFonts w:cs="Arial"/>
                <w:color w:val="111111"/>
                <w:highlight w:val="white"/>
                <w:lang w:val="es-ES"/>
              </w:rPr>
              <w:t xml:space="preserve">In </w:t>
            </w:r>
            <w:r w:rsidR="002F284E">
              <w:rPr>
                <w:rFonts w:cs="Arial"/>
                <w:color w:val="111111"/>
                <w:highlight w:val="white"/>
                <w:lang w:val="es-ES"/>
              </w:rPr>
              <w:t xml:space="preserve">this </w:t>
            </w:r>
            <w:r w:rsidRPr="001B55AD">
              <w:rPr>
                <w:rFonts w:cs="Arial"/>
                <w:color w:val="111111"/>
                <w:highlight w:val="white"/>
                <w:lang w:val="es-ES"/>
              </w:rPr>
              <w:t>case</w:t>
            </w:r>
            <w:r w:rsidR="002F284E">
              <w:rPr>
                <w:rFonts w:cs="Arial"/>
                <w:color w:val="111111"/>
                <w:highlight w:val="white"/>
                <w:lang w:val="es-ES"/>
              </w:rPr>
              <w:t>,</w:t>
            </w:r>
            <w:r w:rsidRPr="001B55AD">
              <w:rPr>
                <w:rFonts w:cs="Arial"/>
                <w:color w:val="111111"/>
                <w:highlight w:val="white"/>
                <w:lang w:val="es-ES"/>
              </w:rPr>
              <w:t xml:space="preserve"> the core legislations that deal with this sector are Royal Decrees 1416/1994 [</w:t>
            </w:r>
            <w:r w:rsidRPr="001B55AD">
              <w:rPr>
                <w:rFonts w:cs="Arial"/>
                <w:color w:val="111111"/>
                <w:lang w:val="es-ES"/>
              </w:rPr>
              <w:t>Real Decreto 1416/1994, de 25 de junio, por el que se regula la publicidad de los medicamentos de uso humano</w:t>
            </w:r>
            <w:r w:rsidRPr="001B55AD">
              <w:rPr>
                <w:rFonts w:cs="Arial"/>
                <w:color w:val="111111"/>
                <w:highlight w:val="white"/>
                <w:lang w:val="es-ES"/>
              </w:rPr>
              <w:t xml:space="preserve">] </w:t>
            </w:r>
            <w:hyperlink r:id="rId98" w:history="1">
              <w:r w:rsidRPr="001B55AD">
                <w:rPr>
                  <w:rStyle w:val="Hyperlink"/>
                  <w:rFonts w:cs="Arial"/>
                  <w:highlight w:val="white"/>
                  <w:lang w:val="es-ES"/>
                </w:rPr>
                <w:t>(BOE, 1994)</w:t>
              </w:r>
            </w:hyperlink>
            <w:r w:rsidRPr="001B55AD">
              <w:rPr>
                <w:rFonts w:cs="Arial"/>
                <w:color w:val="111111"/>
                <w:highlight w:val="white"/>
                <w:lang w:val="es-ES"/>
              </w:rPr>
              <w:t xml:space="preserve"> and 1/2015 [</w:t>
            </w:r>
            <w:r w:rsidRPr="001B55AD">
              <w:rPr>
                <w:rFonts w:cs="Arial"/>
                <w:color w:val="111111"/>
                <w:lang w:val="es-ES"/>
              </w:rPr>
              <w:t>Real Decreto Legislativo 1/2015, de 24 de julio, por el que se aprueba el texto refundido de la Ley de garantías y uso racional de los medicamentos y productos sanitarios</w:t>
            </w:r>
            <w:r w:rsidRPr="001B55AD">
              <w:rPr>
                <w:rFonts w:cs="Arial"/>
                <w:color w:val="111111"/>
                <w:highlight w:val="white"/>
                <w:lang w:val="es-ES"/>
              </w:rPr>
              <w:t xml:space="preserve">] </w:t>
            </w:r>
            <w:hyperlink r:id="rId99" w:history="1">
              <w:r w:rsidRPr="001B55AD">
                <w:rPr>
                  <w:rStyle w:val="Hyperlink"/>
                  <w:rFonts w:cs="Arial"/>
                  <w:highlight w:val="white"/>
                  <w:lang w:val="es-ES"/>
                </w:rPr>
                <w:t>(BOE, 2015)</w:t>
              </w:r>
            </w:hyperlink>
          </w:p>
        </w:tc>
      </w:tr>
      <w:tr w:rsidR="000F492D" w14:paraId="2547E0E4" w14:textId="77777777" w:rsidTr="33F03C23">
        <w:trPr>
          <w:gridAfter w:val="1"/>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4EA7EEA3" w14:textId="77777777" w:rsidR="009721DE" w:rsidRDefault="00D97AF7" w:rsidP="009721DE">
            <w:pPr>
              <w:spacing w:line="276" w:lineRule="auto"/>
              <w:rPr>
                <w:rFonts w:cs="Arial"/>
                <w:color w:val="747474" w:themeColor="background2" w:themeShade="80"/>
              </w:rPr>
            </w:pPr>
            <w:r>
              <w:rPr>
                <w:rFonts w:cs="Arial"/>
                <w:color w:val="747474" w:themeColor="background2" w:themeShade="80"/>
              </w:rPr>
              <w:lastRenderedPageBreak/>
              <w:t>4.6</w:t>
            </w:r>
          </w:p>
        </w:tc>
        <w:tc>
          <w:tcPr>
            <w:tcW w:w="2126" w:type="dxa"/>
            <w:gridSpan w:val="2"/>
          </w:tcPr>
          <w:p w14:paraId="1B7ACD9E" w14:textId="77777777" w:rsidR="009721DE" w:rsidRDefault="00D97AF7" w:rsidP="009721DE">
            <w:pPr>
              <w:pStyle w:val="Subjectcolumntext"/>
              <w:cnfStyle w:val="000000000000" w:firstRow="0" w:lastRow="0" w:firstColumn="0" w:lastColumn="0" w:oddVBand="0" w:evenVBand="0" w:oddHBand="0" w:evenHBand="0" w:firstRowFirstColumn="0" w:firstRowLastColumn="0" w:lastRowFirstColumn="0" w:lastRowLastColumn="0"/>
            </w:pPr>
            <w:r w:rsidRPr="00D9303F">
              <w:t>Regulatory Authorities</w:t>
            </w:r>
          </w:p>
        </w:tc>
        <w:tc>
          <w:tcPr>
            <w:tcW w:w="2127" w:type="dxa"/>
            <w:gridSpan w:val="2"/>
          </w:tcPr>
          <w:p w14:paraId="512ED72D" w14:textId="77777777" w:rsidR="00C3518C" w:rsidRPr="00C3518C" w:rsidRDefault="00D97AF7" w:rsidP="00C3518C">
            <w:pPr>
              <w:cnfStyle w:val="000000000000" w:firstRow="0" w:lastRow="0" w:firstColumn="0" w:lastColumn="0" w:oddVBand="0" w:evenVBand="0" w:oddHBand="0" w:evenHBand="0" w:firstRowFirstColumn="0" w:firstRowLastColumn="0" w:lastRowFirstColumn="0" w:lastRowLastColumn="0"/>
              <w:rPr>
                <w:rFonts w:cs="Arial"/>
              </w:rPr>
            </w:pPr>
            <w:r w:rsidRPr="00C3518C">
              <w:rPr>
                <w:rFonts w:cs="Arial"/>
              </w:rPr>
              <w:t xml:space="preserve">European Union </w:t>
            </w:r>
          </w:p>
          <w:p w14:paraId="0D01BCB5" w14:textId="77777777" w:rsidR="00C3518C" w:rsidRPr="00C3518C" w:rsidRDefault="00C3518C" w:rsidP="00C3518C">
            <w:pPr>
              <w:cnfStyle w:val="000000000000" w:firstRow="0" w:lastRow="0" w:firstColumn="0" w:lastColumn="0" w:oddVBand="0" w:evenVBand="0" w:oddHBand="0" w:evenHBand="0" w:firstRowFirstColumn="0" w:firstRowLastColumn="0" w:lastRowFirstColumn="0" w:lastRowLastColumn="0"/>
              <w:rPr>
                <w:rFonts w:cs="Arial"/>
              </w:rPr>
            </w:pPr>
          </w:p>
          <w:p w14:paraId="16B119B0" w14:textId="77777777" w:rsidR="00C3518C" w:rsidRPr="00C3518C" w:rsidRDefault="00D97AF7" w:rsidP="00C3518C">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C3518C">
              <w:rPr>
                <w:rFonts w:cs="Arial"/>
              </w:rPr>
              <w:t xml:space="preserve">Spanish Government </w:t>
            </w:r>
            <w:r w:rsidRPr="00C3518C">
              <w:rPr>
                <w:rFonts w:cs="Arial"/>
                <w:sz w:val="20"/>
                <w:szCs w:val="20"/>
              </w:rPr>
              <w:t>(Ministry of Economy, Trade and Enterprise)</w:t>
            </w:r>
          </w:p>
          <w:p w14:paraId="233335AD" w14:textId="77777777" w:rsidR="00C3518C" w:rsidRPr="00C3518C" w:rsidRDefault="00C3518C" w:rsidP="00C3518C">
            <w:pPr>
              <w:cnfStyle w:val="000000000000" w:firstRow="0" w:lastRow="0" w:firstColumn="0" w:lastColumn="0" w:oddVBand="0" w:evenVBand="0" w:oddHBand="0" w:evenHBand="0" w:firstRowFirstColumn="0" w:firstRowLastColumn="0" w:lastRowFirstColumn="0" w:lastRowLastColumn="0"/>
              <w:rPr>
                <w:rFonts w:cs="Arial"/>
              </w:rPr>
            </w:pPr>
          </w:p>
          <w:p w14:paraId="7E9F0549" w14:textId="77777777" w:rsidR="00C3518C" w:rsidRPr="00C3518C" w:rsidRDefault="00D97AF7" w:rsidP="00C3518C">
            <w:pPr>
              <w:cnfStyle w:val="000000000000" w:firstRow="0" w:lastRow="0" w:firstColumn="0" w:lastColumn="0" w:oddVBand="0" w:evenVBand="0" w:oddHBand="0" w:evenHBand="0" w:firstRowFirstColumn="0" w:firstRowLastColumn="0" w:lastRowFirstColumn="0" w:lastRowLastColumn="0"/>
              <w:rPr>
                <w:rFonts w:cs="Arial"/>
              </w:rPr>
            </w:pPr>
            <w:r w:rsidRPr="00C3518C">
              <w:rPr>
                <w:rFonts w:cs="Arial"/>
              </w:rPr>
              <w:t>Autonomous Communities</w:t>
            </w:r>
          </w:p>
          <w:p w14:paraId="359AC0C0" w14:textId="77777777" w:rsidR="009721DE" w:rsidRDefault="009721DE" w:rsidP="009721DE">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gridSpan w:val="2"/>
          </w:tcPr>
          <w:p w14:paraId="0CE149B7" w14:textId="77777777" w:rsidR="00650A87" w:rsidRPr="00650A87" w:rsidRDefault="00D97AF7" w:rsidP="00E6608A">
            <w:pPr>
              <w:cnfStyle w:val="000000000000" w:firstRow="0" w:lastRow="0" w:firstColumn="0" w:lastColumn="0" w:oddVBand="0" w:evenVBand="0" w:oddHBand="0" w:evenHBand="0" w:firstRowFirstColumn="0" w:firstRowLastColumn="0" w:lastRowFirstColumn="0" w:lastRowLastColumn="0"/>
              <w:rPr>
                <w:rFonts w:cs="Arial"/>
              </w:rPr>
            </w:pPr>
            <w:r w:rsidRPr="00650A87">
              <w:rPr>
                <w:rFonts w:cs="Arial"/>
              </w:rPr>
              <w:t>The regulatory authorities are the E</w:t>
            </w:r>
            <w:r w:rsidR="0090187D" w:rsidRPr="00650A87">
              <w:rPr>
                <w:rFonts w:cs="Arial"/>
              </w:rPr>
              <w:t xml:space="preserve">uropean Union and Spanish </w:t>
            </w:r>
            <w:r w:rsidR="00F17BC7" w:rsidRPr="00650A87">
              <w:rPr>
                <w:rFonts w:cs="Arial"/>
              </w:rPr>
              <w:t xml:space="preserve">Government. </w:t>
            </w:r>
          </w:p>
          <w:p w14:paraId="39D59B4B" w14:textId="77777777" w:rsidR="00650A87" w:rsidRPr="00650A87" w:rsidRDefault="00650A87" w:rsidP="00E6608A">
            <w:pPr>
              <w:cnfStyle w:val="000000000000" w:firstRow="0" w:lastRow="0" w:firstColumn="0" w:lastColumn="0" w:oddVBand="0" w:evenVBand="0" w:oddHBand="0" w:evenHBand="0" w:firstRowFirstColumn="0" w:firstRowLastColumn="0" w:lastRowFirstColumn="0" w:lastRowLastColumn="0"/>
              <w:rPr>
                <w:rFonts w:cs="Arial"/>
              </w:rPr>
            </w:pPr>
          </w:p>
          <w:p w14:paraId="52B34D5C" w14:textId="77777777" w:rsidR="00650A87" w:rsidRPr="00650A87" w:rsidRDefault="00D97AF7" w:rsidP="00E6608A">
            <w:pPr>
              <w:cnfStyle w:val="000000000000" w:firstRow="0" w:lastRow="0" w:firstColumn="0" w:lastColumn="0" w:oddVBand="0" w:evenVBand="0" w:oddHBand="0" w:evenHBand="0" w:firstRowFirstColumn="0" w:firstRowLastColumn="0" w:lastRowFirstColumn="0" w:lastRowLastColumn="0"/>
              <w:rPr>
                <w:rFonts w:cs="Arial"/>
              </w:rPr>
            </w:pPr>
            <w:r w:rsidRPr="00650A87">
              <w:rPr>
                <w:rFonts w:cs="Arial"/>
              </w:rPr>
              <w:t xml:space="preserve">The Spanish Ministry of Economy, Trade and Enterprise proposes advertising regulations and the </w:t>
            </w:r>
            <w:r w:rsidRPr="00650A87">
              <w:rPr>
                <w:rStyle w:val="Emphasis"/>
                <w:rFonts w:cs="Arial"/>
                <w:i w:val="0"/>
                <w:iCs w:val="0"/>
              </w:rPr>
              <w:t>Spanish</w:t>
            </w:r>
            <w:r w:rsidRPr="00650A87">
              <w:rPr>
                <w:rFonts w:cs="Arial"/>
              </w:rPr>
              <w:t xml:space="preserve"> National Markets and Competition Commission CNMC applies them on a technical basis. </w:t>
            </w:r>
          </w:p>
          <w:p w14:paraId="43AB9657" w14:textId="77777777" w:rsidR="00650A87" w:rsidRPr="00650A87" w:rsidRDefault="00650A87" w:rsidP="00E6608A">
            <w:pPr>
              <w:cnfStyle w:val="000000000000" w:firstRow="0" w:lastRow="0" w:firstColumn="0" w:lastColumn="0" w:oddVBand="0" w:evenVBand="0" w:oddHBand="0" w:evenHBand="0" w:firstRowFirstColumn="0" w:firstRowLastColumn="0" w:lastRowFirstColumn="0" w:lastRowLastColumn="0"/>
              <w:rPr>
                <w:rFonts w:cs="Arial"/>
              </w:rPr>
            </w:pPr>
          </w:p>
          <w:p w14:paraId="28B3723B" w14:textId="77777777" w:rsidR="00650A87" w:rsidRPr="00650A87" w:rsidRDefault="00D97AF7" w:rsidP="00E6608A">
            <w:pPr>
              <w:cnfStyle w:val="000000000000" w:firstRow="0" w:lastRow="0" w:firstColumn="0" w:lastColumn="0" w:oddVBand="0" w:evenVBand="0" w:oddHBand="0" w:evenHBand="0" w:firstRowFirstColumn="0" w:firstRowLastColumn="0" w:lastRowFirstColumn="0" w:lastRowLastColumn="0"/>
              <w:rPr>
                <w:rFonts w:cs="Arial"/>
              </w:rPr>
            </w:pPr>
            <w:r w:rsidRPr="00650A87">
              <w:rPr>
                <w:rFonts w:cs="Arial"/>
              </w:rPr>
              <w:t>The autonomous communities regulate communication that is the exclusive responsibility of their community.</w:t>
            </w:r>
            <w:r w:rsidRPr="00650A87">
              <w:rPr>
                <w:rFonts w:cs="Arial"/>
              </w:rPr>
              <w:br/>
            </w:r>
          </w:p>
          <w:p w14:paraId="0732071F" w14:textId="7E4923A0" w:rsidR="009721DE" w:rsidRPr="00650A87" w:rsidRDefault="00D97AF7" w:rsidP="00E6608A">
            <w:pPr>
              <w:cnfStyle w:val="000000000000" w:firstRow="0" w:lastRow="0" w:firstColumn="0" w:lastColumn="0" w:oddVBand="0" w:evenVBand="0" w:oddHBand="0" w:evenHBand="0" w:firstRowFirstColumn="0" w:firstRowLastColumn="0" w:lastRowFirstColumn="0" w:lastRowLastColumn="0"/>
              <w:rPr>
                <w:rFonts w:cs="Arial"/>
              </w:rPr>
            </w:pPr>
            <w:r w:rsidRPr="00650A87">
              <w:rPr>
                <w:rFonts w:cs="Arial"/>
              </w:rPr>
              <w:t>In Spain, there is no statutory advertising regulator. Instead, there is a private self-regulatory organization</w:t>
            </w:r>
            <w:r w:rsidR="00323A7C" w:rsidRPr="00650A87">
              <w:rPr>
                <w:rFonts w:cs="Arial"/>
              </w:rPr>
              <w:t xml:space="preserve"> </w:t>
            </w:r>
            <w:r w:rsidR="003753E6">
              <w:rPr>
                <w:rFonts w:cs="Arial"/>
              </w:rPr>
              <w:t xml:space="preserve">called </w:t>
            </w:r>
            <w:r w:rsidRPr="00650A87">
              <w:rPr>
                <w:rFonts w:cs="Arial"/>
              </w:rPr>
              <w:t>Autocontrol (</w:t>
            </w:r>
            <w:hyperlink r:id="rId100" w:history="1">
              <w:r w:rsidRPr="00650A87">
                <w:rPr>
                  <w:rStyle w:val="Hyperlink"/>
                  <w:rFonts w:cs="Arial"/>
                </w:rPr>
                <w:t>Autocontrol, 2024a.)</w:t>
              </w:r>
            </w:hyperlink>
          </w:p>
        </w:tc>
      </w:tr>
      <w:tr w:rsidR="000F492D" w14:paraId="34766846" w14:textId="77777777" w:rsidTr="33F03C23">
        <w:trPr>
          <w:gridAfter w:val="1"/>
          <w:cnfStyle w:val="000000100000" w:firstRow="0" w:lastRow="0" w:firstColumn="0" w:lastColumn="0" w:oddVBand="0" w:evenVBand="0" w:oddHBand="1" w:evenHBand="0" w:firstRowFirstColumn="0" w:firstRowLastColumn="0" w:lastRowFirstColumn="0" w:lastRowLastColumn="0"/>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518B603F" w14:textId="77777777" w:rsidR="009721DE" w:rsidRDefault="00D97AF7" w:rsidP="009721DE">
            <w:pPr>
              <w:spacing w:line="276" w:lineRule="auto"/>
              <w:rPr>
                <w:rFonts w:cs="Arial"/>
                <w:color w:val="747474" w:themeColor="background2" w:themeShade="80"/>
              </w:rPr>
            </w:pPr>
            <w:r>
              <w:rPr>
                <w:rFonts w:cs="Arial"/>
                <w:color w:val="747474" w:themeColor="background2" w:themeShade="80"/>
              </w:rPr>
              <w:t>4.7</w:t>
            </w:r>
          </w:p>
        </w:tc>
        <w:tc>
          <w:tcPr>
            <w:tcW w:w="2126" w:type="dxa"/>
            <w:gridSpan w:val="2"/>
          </w:tcPr>
          <w:p w14:paraId="6AF82D6C" w14:textId="77777777" w:rsidR="009721DE" w:rsidRDefault="00D97AF7" w:rsidP="009721DE">
            <w:pPr>
              <w:pStyle w:val="Subjectcolumntext"/>
              <w:cnfStyle w:val="000000100000" w:firstRow="0" w:lastRow="0" w:firstColumn="0" w:lastColumn="0" w:oddVBand="0" w:evenVBand="0" w:oddHBand="1" w:evenHBand="0" w:firstRowFirstColumn="0" w:firstRowLastColumn="0" w:lastRowFirstColumn="0" w:lastRowLastColumn="0"/>
            </w:pPr>
            <w:r w:rsidRPr="00D9303F">
              <w:t>Co-regulation</w:t>
            </w:r>
          </w:p>
        </w:tc>
        <w:tc>
          <w:tcPr>
            <w:tcW w:w="2127" w:type="dxa"/>
            <w:gridSpan w:val="2"/>
          </w:tcPr>
          <w:p w14:paraId="4DF36E96" w14:textId="77777777" w:rsidR="009721DE" w:rsidRDefault="009721DE" w:rsidP="009721DE">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gridSpan w:val="2"/>
          </w:tcPr>
          <w:p w14:paraId="0EE64F21" w14:textId="38B6ABF4" w:rsidR="009721DE" w:rsidRPr="0016559B" w:rsidRDefault="00F52F08" w:rsidP="009721DE">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F52F08">
              <w:rPr>
                <w:rFonts w:cs="Arial"/>
              </w:rPr>
              <w:t>In Spain</w:t>
            </w:r>
            <w:r w:rsidR="003753E6">
              <w:rPr>
                <w:rFonts w:cs="Arial"/>
              </w:rPr>
              <w:t>,</w:t>
            </w:r>
            <w:r w:rsidRPr="00F52F08">
              <w:rPr>
                <w:rFonts w:cs="Arial"/>
              </w:rPr>
              <w:t xml:space="preserve"> there is self-regulation in the advertising sector. The entity in charge of this system is </w:t>
            </w:r>
            <w:hyperlink r:id="rId101" w:history="1">
              <w:r w:rsidRPr="00F52F08">
                <w:rPr>
                  <w:rStyle w:val="Hyperlink"/>
                  <w:rFonts w:cs="Arial"/>
                </w:rPr>
                <w:t>AUTOCONTROL</w:t>
              </w:r>
            </w:hyperlink>
            <w:r w:rsidRPr="00F52F08">
              <w:rPr>
                <w:rFonts w:cs="Arial"/>
              </w:rPr>
              <w:t>, an independent body that is made up of the association of agents in the sector and that promotes responsible, transparent</w:t>
            </w:r>
            <w:r w:rsidR="003753E6">
              <w:rPr>
                <w:rFonts w:cs="Arial"/>
              </w:rPr>
              <w:t>,</w:t>
            </w:r>
            <w:r w:rsidRPr="00F52F08">
              <w:rPr>
                <w:rFonts w:cs="Arial"/>
              </w:rPr>
              <w:t xml:space="preserve"> and honest advertising.</w:t>
            </w:r>
          </w:p>
        </w:tc>
      </w:tr>
      <w:tr w:rsidR="000F492D" w14:paraId="73428D4C" w14:textId="77777777" w:rsidTr="33F03C23">
        <w:trPr>
          <w:gridAfter w:val="1"/>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3D8B239D" w14:textId="77777777" w:rsidR="009721DE" w:rsidRDefault="00D97AF7" w:rsidP="009721DE">
            <w:pPr>
              <w:spacing w:line="276" w:lineRule="auto"/>
              <w:rPr>
                <w:rFonts w:cs="Arial"/>
                <w:color w:val="747474" w:themeColor="background2" w:themeShade="80"/>
              </w:rPr>
            </w:pPr>
            <w:r>
              <w:rPr>
                <w:rFonts w:cs="Arial"/>
                <w:color w:val="747474" w:themeColor="background2" w:themeShade="80"/>
              </w:rPr>
              <w:t>4.8</w:t>
            </w:r>
          </w:p>
        </w:tc>
        <w:tc>
          <w:tcPr>
            <w:tcW w:w="2126" w:type="dxa"/>
            <w:gridSpan w:val="2"/>
          </w:tcPr>
          <w:p w14:paraId="1DE2243D" w14:textId="77777777" w:rsidR="009721DE" w:rsidRDefault="00D97AF7" w:rsidP="009721DE">
            <w:pPr>
              <w:pStyle w:val="Subjectcolumntext"/>
              <w:cnfStyle w:val="000000000000" w:firstRow="0" w:lastRow="0" w:firstColumn="0" w:lastColumn="0" w:oddVBand="0" w:evenVBand="0" w:oddHBand="0" w:evenHBand="0" w:firstRowFirstColumn="0" w:firstRowLastColumn="0" w:lastRowFirstColumn="0" w:lastRowLastColumn="0"/>
            </w:pPr>
            <w:r w:rsidRPr="00D9303F">
              <w:t xml:space="preserve">How does the government </w:t>
            </w:r>
            <w:r w:rsidRPr="00D9303F">
              <w:lastRenderedPageBreak/>
              <w:t>enforce advertising laws?</w:t>
            </w:r>
          </w:p>
        </w:tc>
        <w:tc>
          <w:tcPr>
            <w:tcW w:w="2127" w:type="dxa"/>
            <w:gridSpan w:val="2"/>
          </w:tcPr>
          <w:p w14:paraId="079508B6" w14:textId="77777777" w:rsidR="009721DE" w:rsidRDefault="009721DE" w:rsidP="009721DE">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gridSpan w:val="2"/>
          </w:tcPr>
          <w:p w14:paraId="7B7BEBB4" w14:textId="473B4ABB" w:rsidR="00C525EE" w:rsidRDefault="00D97AF7" w:rsidP="00EC41DA">
            <w:pPr>
              <w:cnfStyle w:val="000000000000" w:firstRow="0" w:lastRow="0" w:firstColumn="0" w:lastColumn="0" w:oddVBand="0" w:evenVBand="0" w:oddHBand="0" w:evenHBand="0" w:firstRowFirstColumn="0" w:firstRowLastColumn="0" w:lastRowFirstColumn="0" w:lastRowLastColumn="0"/>
            </w:pPr>
            <w:r>
              <w:t>The Government ministries and those of the autonomous regions are entitled to judge the commercial acts and behaviour</w:t>
            </w:r>
            <w:r w:rsidR="003753E6">
              <w:t>s</w:t>
            </w:r>
            <w:r>
              <w:t xml:space="preserve"> identified as infringements under the </w:t>
            </w:r>
            <w:r>
              <w:lastRenderedPageBreak/>
              <w:t xml:space="preserve">Consumer Protection Act regime. Penalties for such infringements range from a nominal fine to a fine of 600,000 euro. In addition to legal sanctions, the infringing advertiser may also be obliged to put the party making the claim back to the position they would have been in ‘but for’ the offending act/behaviour, without prejudice to compensation for any damages caused. </w:t>
            </w:r>
          </w:p>
          <w:p w14:paraId="5C0E646E" w14:textId="7F3D0810" w:rsidR="00EC41DA" w:rsidRDefault="00D97AF7" w:rsidP="00EC41DA">
            <w:pPr>
              <w:cnfStyle w:val="000000000000" w:firstRow="0" w:lastRow="0" w:firstColumn="0" w:lastColumn="0" w:oddVBand="0" w:evenVBand="0" w:oddHBand="0" w:evenHBand="0" w:firstRowFirstColumn="0" w:firstRowLastColumn="0" w:lastRowFirstColumn="0" w:lastRowLastColumn="0"/>
            </w:pPr>
            <w:r>
              <w:t xml:space="preserve">Where the advertiser does not compensate the claiming consumers for the damages caused, the consumers are entitled to sue the company in civil courts.  </w:t>
            </w:r>
          </w:p>
          <w:p w14:paraId="2F2FBC89" w14:textId="77777777" w:rsidR="00C525EE" w:rsidRDefault="00C525EE" w:rsidP="00EC41DA">
            <w:pPr>
              <w:cnfStyle w:val="000000000000" w:firstRow="0" w:lastRow="0" w:firstColumn="0" w:lastColumn="0" w:oddVBand="0" w:evenVBand="0" w:oddHBand="0" w:evenHBand="0" w:firstRowFirstColumn="0" w:firstRowLastColumn="0" w:lastRowFirstColumn="0" w:lastRowLastColumn="0"/>
            </w:pPr>
          </w:p>
          <w:p w14:paraId="55608ED0" w14:textId="5982F991" w:rsidR="00650A87" w:rsidRDefault="00D97AF7" w:rsidP="00EC41DA">
            <w:pPr>
              <w:cnfStyle w:val="000000000000" w:firstRow="0" w:lastRow="0" w:firstColumn="0" w:lastColumn="0" w:oddVBand="0" w:evenVBand="0" w:oddHBand="0" w:evenHBand="0" w:firstRowFirstColumn="0" w:firstRowLastColumn="0" w:lastRowFirstColumn="0" w:lastRowLastColumn="0"/>
            </w:pPr>
            <w:r>
              <w:t>A</w:t>
            </w:r>
            <w:r w:rsidR="00EC41DA">
              <w:t xml:space="preserve">dvertising relating to goods or services </w:t>
            </w:r>
            <w:r>
              <w:t xml:space="preserve">that are subject to </w:t>
            </w:r>
            <w:r w:rsidR="00EC41DA">
              <w:t>specific regulation</w:t>
            </w:r>
            <w:r>
              <w:t>s</w:t>
            </w:r>
            <w:r w:rsidR="00EC41DA">
              <w:t xml:space="preserve"> (</w:t>
            </w:r>
            <w:r>
              <w:t xml:space="preserve">such as </w:t>
            </w:r>
            <w:r w:rsidR="00EC41DA">
              <w:t>medicines, food, gambling, etc</w:t>
            </w:r>
            <w:r>
              <w:t>.</w:t>
            </w:r>
            <w:r w:rsidR="00EC41DA">
              <w:t xml:space="preserve">) </w:t>
            </w:r>
            <w:r>
              <w:t>are</w:t>
            </w:r>
            <w:r w:rsidR="00EC41DA">
              <w:t xml:space="preserve"> supervised by the competent authorities in the</w:t>
            </w:r>
            <w:r w:rsidR="00A7315B">
              <w:t>ir</w:t>
            </w:r>
            <w:r w:rsidR="00EC41DA">
              <w:t xml:space="preserve"> respective areas</w:t>
            </w:r>
            <w:r w:rsidR="00300B12">
              <w:t xml:space="preserve">. This </w:t>
            </w:r>
            <w:r w:rsidR="00EC41DA">
              <w:t xml:space="preserve">means that special (national and/or regional) administrations may control and make decisions about the contents and continuation of </w:t>
            </w:r>
            <w:r w:rsidR="00A7315B">
              <w:t>specific</w:t>
            </w:r>
            <w:r w:rsidR="00EC41DA">
              <w:t xml:space="preserve"> advertising activities, </w:t>
            </w:r>
            <w:r w:rsidR="00CF3365">
              <w:t xml:space="preserve">with powers to impose </w:t>
            </w:r>
            <w:r w:rsidR="00EC41DA">
              <w:t>penalties on advertisers in some cases.</w:t>
            </w:r>
          </w:p>
          <w:p w14:paraId="7453A07E" w14:textId="77777777" w:rsidR="00650A87" w:rsidRDefault="00650A87" w:rsidP="00EC41DA">
            <w:pPr>
              <w:cnfStyle w:val="000000000000" w:firstRow="0" w:lastRow="0" w:firstColumn="0" w:lastColumn="0" w:oddVBand="0" w:evenVBand="0" w:oddHBand="0" w:evenHBand="0" w:firstRowFirstColumn="0" w:firstRowLastColumn="0" w:lastRowFirstColumn="0" w:lastRowLastColumn="0"/>
            </w:pPr>
          </w:p>
          <w:p w14:paraId="4741074C" w14:textId="5D2CD244" w:rsidR="00650A87" w:rsidRPr="0018127D" w:rsidRDefault="00D97AF7" w:rsidP="00650A87">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650A87">
              <w:t>According to the General Law on Advertising 34/1988 [Ley 34/1988, de 11 de noviembre, General de Publicidad] (</w:t>
            </w:r>
            <w:hyperlink r:id="rId102" w:history="1">
              <w:r w:rsidRPr="00650A87">
                <w:rPr>
                  <w:rStyle w:val="Hyperlink"/>
                </w:rPr>
                <w:t>BOE, 1988</w:t>
              </w:r>
            </w:hyperlink>
            <w:r w:rsidRPr="00650A87">
              <w:t>)</w:t>
            </w:r>
            <w:r w:rsidR="00A7315B">
              <w:t>,</w:t>
            </w:r>
            <w:r w:rsidRPr="00650A87">
              <w:t xml:space="preserve"> failure to comply with the special rules governing the advertising of products, goods, activities</w:t>
            </w:r>
            <w:r w:rsidR="00A7315B">
              <w:t>,</w:t>
            </w:r>
            <w:r w:rsidRPr="00650A87">
              <w:t xml:space="preserve"> and services will be considered an infringement for the purposes set out in the </w:t>
            </w:r>
            <w:bookmarkStart w:id="10" w:name="_Hlk162890039"/>
            <w:r w:rsidRPr="00650A87">
              <w:t xml:space="preserve">General Law for the Defence of Consumers and Users </w:t>
            </w:r>
            <w:bookmarkEnd w:id="10"/>
            <w:r w:rsidRPr="00650A87">
              <w:t>[Real Decreto Legislativo 1/2007, de 16 de noviembre, por el que se aprueba el texto refundido de la Ley General para la Defensa de los Consumidores y Usuarios y otras leyes</w:t>
            </w:r>
            <w:r>
              <w:t xml:space="preserve"> </w:t>
            </w:r>
            <w:r w:rsidRPr="0018127D">
              <w:rPr>
                <w:rFonts w:asciiTheme="minorHAnsi" w:hAnsiTheme="minorHAnsi" w:cstheme="minorHAnsi"/>
              </w:rPr>
              <w:t>complementarias] (</w:t>
            </w:r>
            <w:hyperlink r:id="rId103" w:history="1">
              <w:r w:rsidRPr="0018127D">
                <w:rPr>
                  <w:rStyle w:val="Hyperlink"/>
                  <w:rFonts w:asciiTheme="minorHAnsi" w:hAnsiTheme="minorHAnsi" w:cstheme="minorHAnsi"/>
                </w:rPr>
                <w:t>BOE, 2007</w:t>
              </w:r>
            </w:hyperlink>
            <w:r w:rsidRPr="0018127D">
              <w:rPr>
                <w:rFonts w:asciiTheme="minorHAnsi" w:hAnsiTheme="minorHAnsi" w:cstheme="minorHAnsi"/>
              </w:rPr>
              <w:t>)</w:t>
            </w:r>
            <w:r w:rsidR="00F52F08">
              <w:rPr>
                <w:rFonts w:asciiTheme="minorHAnsi" w:hAnsiTheme="minorHAnsi" w:cstheme="minorHAnsi"/>
              </w:rPr>
              <w:t>.</w:t>
            </w:r>
          </w:p>
          <w:p w14:paraId="24C1BC76" w14:textId="77777777" w:rsidR="00650A87" w:rsidRPr="00650A87" w:rsidRDefault="00650A87" w:rsidP="00650A87">
            <w:pPr>
              <w:cnfStyle w:val="000000000000" w:firstRow="0" w:lastRow="0" w:firstColumn="0" w:lastColumn="0" w:oddVBand="0" w:evenVBand="0" w:oddHBand="0" w:evenHBand="0" w:firstRowFirstColumn="0" w:firstRowLastColumn="0" w:lastRowFirstColumn="0" w:lastRowLastColumn="0"/>
              <w:rPr>
                <w:rFonts w:cs="Arial"/>
              </w:rPr>
            </w:pPr>
          </w:p>
          <w:p w14:paraId="3767CA24" w14:textId="77777777" w:rsidR="00650A87" w:rsidRPr="00650A87" w:rsidRDefault="00D97AF7" w:rsidP="00650A87">
            <w:pPr>
              <w:cnfStyle w:val="000000000000" w:firstRow="0" w:lastRow="0" w:firstColumn="0" w:lastColumn="0" w:oddVBand="0" w:evenVBand="0" w:oddHBand="0" w:evenHBand="0" w:firstRowFirstColumn="0" w:firstRowLastColumn="0" w:lastRowFirstColumn="0" w:lastRowLastColumn="0"/>
              <w:rPr>
                <w:rFonts w:cs="Arial"/>
                <w:lang w:val="es-ES"/>
              </w:rPr>
            </w:pPr>
            <w:r w:rsidRPr="00650A87">
              <w:rPr>
                <w:rFonts w:cs="Arial"/>
                <w:lang w:val="es-ES"/>
              </w:rPr>
              <w:t>Regarding fines, the General Law for the Defence of Consumers and Users [Real Decreto Legislativo 1/2007, de 16 de noviembre, por el que se aprueba el texto refundido de la Ley General para la Defensa de los Consumidores y Usuarios y otras leyes complementarias] (</w:t>
            </w:r>
            <w:hyperlink r:id="rId104" w:history="1">
              <w:r w:rsidRPr="00650A87">
                <w:rPr>
                  <w:rStyle w:val="Hyperlink"/>
                  <w:rFonts w:cs="Arial"/>
                  <w:color w:val="77206D" w:themeColor="accent5" w:themeShade="BF"/>
                  <w:lang w:val="es-ES"/>
                </w:rPr>
                <w:t>BOE, 2007</w:t>
              </w:r>
            </w:hyperlink>
            <w:r w:rsidRPr="00650A87">
              <w:rPr>
                <w:rFonts w:cs="Arial"/>
                <w:lang w:val="es-ES"/>
              </w:rPr>
              <w:t>) establishes the following fines depending on the type of infringement:</w:t>
            </w:r>
          </w:p>
          <w:p w14:paraId="23C2A7AA" w14:textId="77777777" w:rsidR="00650A87" w:rsidRPr="00650A87" w:rsidRDefault="00D97AF7" w:rsidP="00650A87">
            <w:pPr>
              <w:cnfStyle w:val="000000000000" w:firstRow="0" w:lastRow="0" w:firstColumn="0" w:lastColumn="0" w:oddVBand="0" w:evenVBand="0" w:oddHBand="0" w:evenHBand="0" w:firstRowFirstColumn="0" w:firstRowLastColumn="0" w:lastRowFirstColumn="0" w:lastRowLastColumn="0"/>
              <w:rPr>
                <w:rFonts w:cs="Arial"/>
              </w:rPr>
            </w:pPr>
            <w:r w:rsidRPr="00650A87">
              <w:rPr>
                <w:rFonts w:cs="Arial"/>
              </w:rPr>
              <w:t>a) Minor: between 150 and 10,000 euros, with the possibility of exceeding these amounts up to two to four times the unlawful benefit obtained.</w:t>
            </w:r>
          </w:p>
          <w:p w14:paraId="7DA6DD66" w14:textId="77777777" w:rsidR="00650A87" w:rsidRPr="00650A87" w:rsidRDefault="00D97AF7" w:rsidP="00650A87">
            <w:pPr>
              <w:cnfStyle w:val="000000000000" w:firstRow="0" w:lastRow="0" w:firstColumn="0" w:lastColumn="0" w:oddVBand="0" w:evenVBand="0" w:oddHBand="0" w:evenHBand="0" w:firstRowFirstColumn="0" w:firstRowLastColumn="0" w:lastRowFirstColumn="0" w:lastRowLastColumn="0"/>
              <w:rPr>
                <w:rFonts w:cs="Arial"/>
              </w:rPr>
            </w:pPr>
            <w:r w:rsidRPr="00650A87">
              <w:rPr>
                <w:rFonts w:cs="Arial"/>
              </w:rPr>
              <w:t>b) Serious: between 10,001 and 100,000 euros, with the possibility of exceeding these amounts up to between four and six times the illicit profit obtained.</w:t>
            </w:r>
          </w:p>
          <w:p w14:paraId="05889E8D" w14:textId="77777777" w:rsidR="00650A87" w:rsidRPr="00650A87" w:rsidRDefault="00D97AF7" w:rsidP="00650A87">
            <w:pPr>
              <w:cnfStyle w:val="000000000000" w:firstRow="0" w:lastRow="0" w:firstColumn="0" w:lastColumn="0" w:oddVBand="0" w:evenVBand="0" w:oddHBand="0" w:evenHBand="0" w:firstRowFirstColumn="0" w:firstRowLastColumn="0" w:lastRowFirstColumn="0" w:lastRowLastColumn="0"/>
              <w:rPr>
                <w:rFonts w:cs="Arial"/>
              </w:rPr>
            </w:pPr>
            <w:r w:rsidRPr="00650A87">
              <w:rPr>
                <w:rFonts w:cs="Arial"/>
              </w:rPr>
              <w:t>c) Very serious: between 100,001 and 1,000,000 euros, with the possibility of exceeding these amounts by up to six to eight times the illicit benefit obtained.</w:t>
            </w:r>
          </w:p>
          <w:p w14:paraId="65372A83" w14:textId="0B703112" w:rsidR="00650A87" w:rsidRDefault="00D97AF7" w:rsidP="00650A87">
            <w:pPr>
              <w:cnfStyle w:val="000000000000" w:firstRow="0" w:lastRow="0" w:firstColumn="0" w:lastColumn="0" w:oddVBand="0" w:evenVBand="0" w:oddHBand="0" w:evenHBand="0" w:firstRowFirstColumn="0" w:firstRowLastColumn="0" w:lastRowFirstColumn="0" w:lastRowLastColumn="0"/>
              <w:rPr>
                <w:rFonts w:cs="Arial"/>
              </w:rPr>
            </w:pPr>
            <w:r w:rsidRPr="00650A87">
              <w:rPr>
                <w:rFonts w:cs="Arial"/>
              </w:rPr>
              <w:t xml:space="preserve">In addition to legal sanctions, the infringing advertiser may also be obliged to put the party making the claim back to the position they would have been in ‘but for’ the offending act/behaviour, without prejudice to compensation for any damages caused. Where the </w:t>
            </w:r>
            <w:r w:rsidRPr="00650A87">
              <w:rPr>
                <w:rFonts w:cs="Arial"/>
              </w:rPr>
              <w:lastRenderedPageBreak/>
              <w:t xml:space="preserve">advertiser does not compensate the claiming consumers for the damages caused, the consumers are entitled to sue the company in civil courts.  </w:t>
            </w:r>
          </w:p>
          <w:p w14:paraId="1066D2A3" w14:textId="77777777" w:rsidR="004A0A09" w:rsidRPr="00650A87" w:rsidRDefault="004A0A09" w:rsidP="00650A87">
            <w:pPr>
              <w:cnfStyle w:val="000000000000" w:firstRow="0" w:lastRow="0" w:firstColumn="0" w:lastColumn="0" w:oddVBand="0" w:evenVBand="0" w:oddHBand="0" w:evenHBand="0" w:firstRowFirstColumn="0" w:firstRowLastColumn="0" w:lastRowFirstColumn="0" w:lastRowLastColumn="0"/>
              <w:rPr>
                <w:rFonts w:cs="Arial"/>
              </w:rPr>
            </w:pPr>
          </w:p>
          <w:p w14:paraId="53AB7208" w14:textId="77777777" w:rsidR="009721DE" w:rsidRPr="0016559B" w:rsidRDefault="00D97AF7" w:rsidP="00650A87">
            <w:pPr>
              <w:cnfStyle w:val="000000000000" w:firstRow="0" w:lastRow="0" w:firstColumn="0" w:lastColumn="0" w:oddVBand="0" w:evenVBand="0" w:oddHBand="0" w:evenHBand="0" w:firstRowFirstColumn="0" w:firstRowLastColumn="0" w:lastRowFirstColumn="0" w:lastRowLastColumn="0"/>
              <w:rPr>
                <w:rFonts w:cs="Arial"/>
              </w:rPr>
            </w:pPr>
            <w:r>
              <w:rPr>
                <w:rFonts w:cs="Arial"/>
              </w:rPr>
              <w:t>A</w:t>
            </w:r>
            <w:r w:rsidR="00650A87" w:rsidRPr="00650A87">
              <w:rPr>
                <w:rFonts w:cs="Arial"/>
              </w:rPr>
              <w:t>dvertising relating to goods or services with specific regulation (medicines, food, gambling, etc.) is supervised by the competent authorities in the respective areas, which means that special (national and/or regional) administrations may control and make decisions about the contents and continuation of advertising activities, including the imposition of penalties on advertisers in some cases.</w:t>
            </w:r>
            <w:r w:rsidR="00650A87" w:rsidRPr="0018127D">
              <w:rPr>
                <w:rFonts w:asciiTheme="minorHAnsi" w:hAnsiTheme="minorHAnsi" w:cstheme="minorHAnsi"/>
              </w:rPr>
              <w:t xml:space="preserve">  </w:t>
            </w:r>
            <w:r w:rsidR="00EC41DA">
              <w:t xml:space="preserve">  </w:t>
            </w:r>
          </w:p>
        </w:tc>
      </w:tr>
      <w:tr w:rsidR="000F492D" w14:paraId="397322DF" w14:textId="77777777" w:rsidTr="33F03C23">
        <w:trPr>
          <w:gridAfter w:val="1"/>
          <w:cnfStyle w:val="000000100000" w:firstRow="0" w:lastRow="0" w:firstColumn="0" w:lastColumn="0" w:oddVBand="0" w:evenVBand="0" w:oddHBand="1" w:evenHBand="0" w:firstRowFirstColumn="0" w:firstRowLastColumn="0" w:lastRowFirstColumn="0" w:lastRowLastColumn="0"/>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5B338821" w14:textId="77777777" w:rsidR="009721DE" w:rsidRDefault="00D97AF7" w:rsidP="009721DE">
            <w:pPr>
              <w:spacing w:line="276" w:lineRule="auto"/>
              <w:rPr>
                <w:rFonts w:cs="Arial"/>
                <w:color w:val="747474" w:themeColor="background2" w:themeShade="80"/>
              </w:rPr>
            </w:pPr>
            <w:r>
              <w:rPr>
                <w:rFonts w:cs="Arial"/>
                <w:color w:val="747474" w:themeColor="background2" w:themeShade="80"/>
              </w:rPr>
              <w:lastRenderedPageBreak/>
              <w:t>4.9</w:t>
            </w:r>
          </w:p>
        </w:tc>
        <w:tc>
          <w:tcPr>
            <w:tcW w:w="2126" w:type="dxa"/>
            <w:gridSpan w:val="2"/>
          </w:tcPr>
          <w:p w14:paraId="62FA4D00" w14:textId="77777777" w:rsidR="009721DE" w:rsidRDefault="00D97AF7" w:rsidP="009721DE">
            <w:pPr>
              <w:pStyle w:val="Subjectcolumntext"/>
              <w:cnfStyle w:val="000000100000" w:firstRow="0" w:lastRow="0" w:firstColumn="0" w:lastColumn="0" w:oddVBand="0" w:evenVBand="0" w:oddHBand="1" w:evenHBand="0" w:firstRowFirstColumn="0" w:firstRowLastColumn="0" w:lastRowFirstColumn="0" w:lastRowLastColumn="0"/>
            </w:pPr>
            <w:r w:rsidRPr="00D9303F">
              <w:t>What are the potential remedies?</w:t>
            </w:r>
          </w:p>
        </w:tc>
        <w:tc>
          <w:tcPr>
            <w:tcW w:w="2127" w:type="dxa"/>
            <w:gridSpan w:val="2"/>
          </w:tcPr>
          <w:p w14:paraId="3768F23C" w14:textId="77777777" w:rsidR="009721DE" w:rsidRDefault="009721DE" w:rsidP="009721DE">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gridSpan w:val="2"/>
          </w:tcPr>
          <w:p w14:paraId="5D0BB76B" w14:textId="25C1AEF1" w:rsidR="00F52F08" w:rsidRPr="00F52F08" w:rsidRDefault="00F52F08" w:rsidP="00F52F08">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F52F08">
              <w:rPr>
                <w:rFonts w:cs="Arial"/>
              </w:rPr>
              <w:t xml:space="preserve">In case of non-compliance with advertising regulations, the main measure is to impose a financial fine, </w:t>
            </w:r>
            <w:r w:rsidR="00A7315B">
              <w:rPr>
                <w:rFonts w:cs="Arial"/>
              </w:rPr>
              <w:t xml:space="preserve">which </w:t>
            </w:r>
            <w:r w:rsidRPr="00F52F08">
              <w:rPr>
                <w:rFonts w:cs="Arial"/>
              </w:rPr>
              <w:t>can also determine the closure of the professional activity of the person or company, prohibit or cease advertising activity, and ultima</w:t>
            </w:r>
            <w:r>
              <w:rPr>
                <w:rFonts w:cs="Arial"/>
              </w:rPr>
              <w:t xml:space="preserve">tely file a claim for damages. </w:t>
            </w:r>
            <w:r w:rsidRPr="00F52F08">
              <w:rPr>
                <w:rFonts w:cs="Arial"/>
              </w:rPr>
              <w:t xml:space="preserve"> </w:t>
            </w:r>
          </w:p>
          <w:p w14:paraId="5021BD97" w14:textId="0FAC3BBA" w:rsidR="009721DE" w:rsidRPr="0016559B" w:rsidRDefault="00F52F08" w:rsidP="00F52F08">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F52F08">
              <w:rPr>
                <w:rFonts w:cs="Arial"/>
              </w:rPr>
              <w:t>Depending on the violation and the damage committed from the action, some measures or others will be carried out.</w:t>
            </w:r>
            <w:r>
              <w:rPr>
                <w:rFonts w:cs="Arial"/>
              </w:rPr>
              <w:t xml:space="preserve"> </w:t>
            </w:r>
            <w:hyperlink r:id="rId105" w:history="1">
              <w:r w:rsidRPr="0015734B">
                <w:rPr>
                  <w:rStyle w:val="Hyperlink"/>
                  <w:rFonts w:cs="Arial"/>
                </w:rPr>
                <w:t>Web Spanish Governme</w:t>
              </w:r>
              <w:r w:rsidR="0015734B" w:rsidRPr="0015734B">
                <w:rPr>
                  <w:rStyle w:val="Hyperlink"/>
                  <w:rFonts w:cs="Arial"/>
                </w:rPr>
                <w:t>n</w:t>
              </w:r>
              <w:r w:rsidRPr="0015734B">
                <w:rPr>
                  <w:rStyle w:val="Hyperlink"/>
                  <w:rFonts w:cs="Arial"/>
                </w:rPr>
                <w:t>t</w:t>
              </w:r>
            </w:hyperlink>
            <w:r>
              <w:rPr>
                <w:rFonts w:cs="Arial"/>
              </w:rPr>
              <w:t xml:space="preserve">. </w:t>
            </w:r>
          </w:p>
        </w:tc>
      </w:tr>
      <w:tr w:rsidR="000F492D" w14:paraId="6DE9D421" w14:textId="77777777" w:rsidTr="33F03C23">
        <w:trPr>
          <w:gridAfter w:val="1"/>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110D96C3" w14:textId="77777777" w:rsidR="00BF7EA5" w:rsidRDefault="00D97AF7" w:rsidP="00BF7EA5">
            <w:pPr>
              <w:spacing w:line="276" w:lineRule="auto"/>
              <w:rPr>
                <w:rFonts w:cs="Arial"/>
                <w:color w:val="747474" w:themeColor="background2" w:themeShade="80"/>
              </w:rPr>
            </w:pPr>
            <w:r>
              <w:rPr>
                <w:rFonts w:cs="Arial"/>
                <w:color w:val="747474" w:themeColor="background2" w:themeShade="80"/>
              </w:rPr>
              <w:t>4.10</w:t>
            </w:r>
          </w:p>
        </w:tc>
        <w:tc>
          <w:tcPr>
            <w:tcW w:w="2126" w:type="dxa"/>
            <w:gridSpan w:val="2"/>
          </w:tcPr>
          <w:p w14:paraId="515D70D5" w14:textId="77777777" w:rsidR="00BF7EA5" w:rsidRDefault="00D97AF7" w:rsidP="00BF7EA5">
            <w:pPr>
              <w:pStyle w:val="Subjectcolumntext"/>
              <w:cnfStyle w:val="000000000000" w:firstRow="0" w:lastRow="0" w:firstColumn="0" w:lastColumn="0" w:oddVBand="0" w:evenVBand="0" w:oddHBand="0" w:evenHBand="0" w:firstRowFirstColumn="0" w:firstRowLastColumn="0" w:lastRowFirstColumn="0" w:lastRowLastColumn="0"/>
            </w:pPr>
            <w:r w:rsidRPr="00D9303F">
              <w:t>When does a competitor have a right of action?</w:t>
            </w:r>
          </w:p>
        </w:tc>
        <w:tc>
          <w:tcPr>
            <w:tcW w:w="2127" w:type="dxa"/>
            <w:gridSpan w:val="2"/>
          </w:tcPr>
          <w:p w14:paraId="08BE8BDA" w14:textId="77777777" w:rsidR="00BF7EA5" w:rsidRDefault="00BF7EA5" w:rsidP="00BF7EA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gridSpan w:val="2"/>
          </w:tcPr>
          <w:p w14:paraId="1107CFF6" w14:textId="77777777" w:rsidR="00BF7EA5" w:rsidRDefault="00D97AF7" w:rsidP="000F2F0F">
            <w:pPr>
              <w:spacing w:after="160"/>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A competitor may initiate an action regarding illegal advertising in two ways: </w:t>
            </w:r>
          </w:p>
          <w:p w14:paraId="73C1D8D2" w14:textId="77777777" w:rsidR="00BF7EA5" w:rsidRDefault="00D97AF7" w:rsidP="000F2F0F">
            <w:pPr>
              <w:numPr>
                <w:ilvl w:val="0"/>
                <w:numId w:val="7"/>
              </w:num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b/>
                <w:color w:val="000000"/>
              </w:rPr>
              <w:t>Civil order:</w:t>
            </w:r>
            <w:r>
              <w:rPr>
                <w:rFonts w:eastAsia="Calibri"/>
                <w:color w:val="000000"/>
              </w:rPr>
              <w:t xml:space="preserve"> The most common procedure against illegal advertising is a civil claim by the affected competitor. This claim can be </w:t>
            </w:r>
            <w:r w:rsidR="009F35C2">
              <w:rPr>
                <w:rFonts w:eastAsia="Calibri"/>
                <w:color w:val="000000"/>
              </w:rPr>
              <w:t xml:space="preserve">brought </w:t>
            </w:r>
            <w:r>
              <w:rPr>
                <w:rFonts w:eastAsia="Calibri"/>
                <w:color w:val="000000"/>
              </w:rPr>
              <w:t xml:space="preserve">before any competent national court. Commercial and mercantile courts will handle the claims concerning unfair competition and advertising. Article 32 of the Unfair Competition Act </w:t>
            </w:r>
            <w:r w:rsidR="004A0A09" w:rsidRPr="009275C8">
              <w:rPr>
                <w:rFonts w:eastAsia="Calibri"/>
                <w:color w:val="000000"/>
              </w:rPr>
              <w:t>[Ley 3/1991, de 10 de enero, de Competencia Desleal]</w:t>
            </w:r>
            <w:r w:rsidR="004A0A09" w:rsidRPr="0018127D">
              <w:rPr>
                <w:rFonts w:asciiTheme="minorHAnsi" w:hAnsiTheme="minorHAnsi" w:cstheme="minorHAnsi"/>
              </w:rPr>
              <w:t xml:space="preserve"> [</w:t>
            </w:r>
            <w:hyperlink r:id="rId106" w:history="1">
              <w:r w:rsidR="004A0A09" w:rsidRPr="0018127D">
                <w:rPr>
                  <w:rStyle w:val="Hyperlink"/>
                  <w:rFonts w:asciiTheme="minorHAnsi" w:hAnsiTheme="minorHAnsi" w:cstheme="minorHAnsi"/>
                </w:rPr>
                <w:t>BOE, 1991</w:t>
              </w:r>
            </w:hyperlink>
            <w:r w:rsidR="004A0A09" w:rsidRPr="0018127D">
              <w:rPr>
                <w:rFonts w:asciiTheme="minorHAnsi" w:hAnsiTheme="minorHAnsi" w:cstheme="minorHAnsi"/>
              </w:rPr>
              <w:t>]</w:t>
            </w:r>
            <w:r w:rsidR="004A0A09">
              <w:rPr>
                <w:rFonts w:asciiTheme="minorHAnsi" w:hAnsiTheme="minorHAnsi" w:cstheme="minorHAnsi"/>
              </w:rPr>
              <w:t xml:space="preserve"> </w:t>
            </w:r>
            <w:r>
              <w:rPr>
                <w:rFonts w:eastAsia="Calibri"/>
                <w:color w:val="000000"/>
              </w:rPr>
              <w:t xml:space="preserve">refers to actions that may be interposed against acts of unfair competition and illegal advertising and, therefore, the court could impose the following measures: </w:t>
            </w:r>
          </w:p>
          <w:p w14:paraId="6EA7E2ED" w14:textId="77777777" w:rsidR="00BF7EA5" w:rsidRDefault="00D97AF7" w:rsidP="000F2F0F">
            <w:pPr>
              <w:numPr>
                <w:ilvl w:val="1"/>
                <w:numId w:val="7"/>
              </w:numPr>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declare the illegality of the act; </w:t>
            </w:r>
          </w:p>
          <w:p w14:paraId="39B99B01" w14:textId="77777777" w:rsidR="00BF7EA5" w:rsidRDefault="00D97AF7" w:rsidP="000F2F0F">
            <w:pPr>
              <w:numPr>
                <w:ilvl w:val="1"/>
                <w:numId w:val="7"/>
              </w:numPr>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stop the unfair conduct or ban their future reiteration and agree the prohibition of this conduct; </w:t>
            </w:r>
          </w:p>
          <w:p w14:paraId="207C4769" w14:textId="77777777" w:rsidR="00BF7EA5" w:rsidRDefault="00D97AF7" w:rsidP="000F2F0F">
            <w:pPr>
              <w:numPr>
                <w:ilvl w:val="1"/>
                <w:numId w:val="7"/>
              </w:numPr>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remove the effects of the unfair act; </w:t>
            </w:r>
          </w:p>
          <w:p w14:paraId="5ACC5D03" w14:textId="77777777" w:rsidR="00BF7EA5" w:rsidRDefault="00D97AF7" w:rsidP="000F2F0F">
            <w:pPr>
              <w:numPr>
                <w:ilvl w:val="1"/>
                <w:numId w:val="7"/>
              </w:numPr>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rectify misleading, incorrect or false information; </w:t>
            </w:r>
          </w:p>
          <w:p w14:paraId="6D191C12" w14:textId="77777777" w:rsidR="00BF7EA5" w:rsidRDefault="00D97AF7" w:rsidP="000F2F0F">
            <w:pPr>
              <w:numPr>
                <w:ilvl w:val="1"/>
                <w:numId w:val="7"/>
              </w:numPr>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establish compensation for damages caused by the unfair act, if intent or gross negligence are involved; </w:t>
            </w:r>
          </w:p>
          <w:p w14:paraId="7756D286" w14:textId="77777777" w:rsidR="00BF7EA5" w:rsidRDefault="00D97AF7" w:rsidP="000F2F0F">
            <w:pPr>
              <w:numPr>
                <w:ilvl w:val="1"/>
                <w:numId w:val="7"/>
              </w:numPr>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damages/compensation pursuant to a finding of unjust enrichment (only applies </w:t>
            </w:r>
            <w:r>
              <w:rPr>
                <w:rFonts w:eastAsia="Calibri"/>
                <w:color w:val="000000"/>
              </w:rPr>
              <w:lastRenderedPageBreak/>
              <w:t xml:space="preserve">when the unfair act infringes a legal position covered by an exclusive right); and </w:t>
            </w:r>
          </w:p>
          <w:p w14:paraId="58D765C6" w14:textId="0304FE4D" w:rsidR="00BF7EA5" w:rsidRDefault="009275C8" w:rsidP="000F2F0F">
            <w:pPr>
              <w:numPr>
                <w:ilvl w:val="1"/>
                <w:numId w:val="7"/>
              </w:numPr>
              <w:pBdr>
                <w:top w:val="nil"/>
                <w:left w:val="nil"/>
                <w:bottom w:val="nil"/>
                <w:right w:val="nil"/>
                <w:between w:val="nil"/>
              </w:pBdr>
              <w:jc w:val="both"/>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 </w:t>
            </w:r>
            <w:r w:rsidR="00D97AF7">
              <w:rPr>
                <w:rFonts w:eastAsia="Calibri"/>
                <w:color w:val="000000"/>
              </w:rPr>
              <w:t xml:space="preserve">in verdicts that anticipate actions envisaged in the first four points, the court may order the publication of the verdict, or even a rectifying statement. </w:t>
            </w:r>
          </w:p>
          <w:p w14:paraId="5A6849F3" w14:textId="338A300F" w:rsidR="00BF7EA5" w:rsidRPr="000F2F0F" w:rsidRDefault="00D97AF7" w:rsidP="000F2F0F">
            <w:pPr>
              <w:numPr>
                <w:ilvl w:val="0"/>
                <w:numId w:val="7"/>
              </w:numPr>
              <w:pBdr>
                <w:top w:val="nil"/>
                <w:left w:val="nil"/>
                <w:bottom w:val="nil"/>
                <w:right w:val="nil"/>
                <w:between w:val="nil"/>
              </w:pBdr>
              <w:spacing w:after="160"/>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b/>
                <w:color w:val="000000"/>
              </w:rPr>
              <w:t>Criminal order:</w:t>
            </w:r>
            <w:r>
              <w:rPr>
                <w:rFonts w:eastAsia="Calibri"/>
                <w:color w:val="000000"/>
              </w:rPr>
              <w:t xml:space="preserve"> Criminal proceedings are possible when a crime takes place. Advertisers can face up to one year’s imprisonment if they make false allegations which may cause serious harm to consumers. However, in relation to potential actions</w:t>
            </w:r>
            <w:r w:rsidR="009275C8">
              <w:rPr>
                <w:rFonts w:eastAsia="Calibri"/>
                <w:color w:val="000000"/>
              </w:rPr>
              <w:t>,</w:t>
            </w:r>
            <w:r>
              <w:rPr>
                <w:rFonts w:eastAsia="Calibri"/>
                <w:color w:val="000000"/>
              </w:rPr>
              <w:t xml:space="preserve"> competitors take this </w:t>
            </w:r>
            <w:r w:rsidR="009275C8">
              <w:rPr>
                <w:rFonts w:eastAsia="Calibri"/>
                <w:color w:val="000000"/>
              </w:rPr>
              <w:t>as</w:t>
            </w:r>
            <w:r>
              <w:rPr>
                <w:rFonts w:eastAsia="Calibri"/>
                <w:color w:val="000000"/>
              </w:rPr>
              <w:t xml:space="preserve"> an unlikely option.</w:t>
            </w:r>
          </w:p>
        </w:tc>
      </w:tr>
      <w:tr w:rsidR="000F492D" w14:paraId="34E5E93B" w14:textId="77777777" w:rsidTr="33F03C23">
        <w:trPr>
          <w:gridAfter w:val="1"/>
          <w:cnfStyle w:val="000000100000" w:firstRow="0" w:lastRow="0" w:firstColumn="0" w:lastColumn="0" w:oddVBand="0" w:evenVBand="0" w:oddHBand="1" w:evenHBand="0" w:firstRowFirstColumn="0" w:firstRowLastColumn="0" w:lastRowFirstColumn="0" w:lastRowLastColumn="0"/>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3E7BE28F" w14:textId="77777777" w:rsidR="00BF7EA5" w:rsidRDefault="00D97AF7" w:rsidP="00BF7EA5">
            <w:pPr>
              <w:spacing w:line="276" w:lineRule="auto"/>
              <w:rPr>
                <w:rFonts w:cs="Arial"/>
                <w:color w:val="747474" w:themeColor="background2" w:themeShade="80"/>
              </w:rPr>
            </w:pPr>
            <w:r>
              <w:rPr>
                <w:rFonts w:cs="Arial"/>
                <w:color w:val="747474" w:themeColor="background2" w:themeShade="80"/>
              </w:rPr>
              <w:lastRenderedPageBreak/>
              <w:t>4.11</w:t>
            </w:r>
          </w:p>
        </w:tc>
        <w:tc>
          <w:tcPr>
            <w:tcW w:w="2126" w:type="dxa"/>
            <w:gridSpan w:val="2"/>
          </w:tcPr>
          <w:p w14:paraId="31AF696F" w14:textId="77777777" w:rsidR="00BF7EA5" w:rsidRDefault="00D97AF7" w:rsidP="00BF7EA5">
            <w:pPr>
              <w:pStyle w:val="Subjectcolumntext"/>
              <w:cnfStyle w:val="000000100000" w:firstRow="0" w:lastRow="0" w:firstColumn="0" w:lastColumn="0" w:oddVBand="0" w:evenVBand="0" w:oddHBand="1" w:evenHBand="0" w:firstRowFirstColumn="0" w:firstRowLastColumn="0" w:lastRowFirstColumn="0" w:lastRowLastColumn="0"/>
            </w:pPr>
            <w:r w:rsidRPr="00D9303F">
              <w:t>What are the potential remedies?</w:t>
            </w:r>
          </w:p>
        </w:tc>
        <w:tc>
          <w:tcPr>
            <w:tcW w:w="2127" w:type="dxa"/>
            <w:gridSpan w:val="2"/>
          </w:tcPr>
          <w:p w14:paraId="316C86DD" w14:textId="77777777" w:rsidR="00BF7EA5" w:rsidRDefault="00BF7EA5" w:rsidP="00BF7EA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gridSpan w:val="2"/>
          </w:tcPr>
          <w:p w14:paraId="5D8E69C8" w14:textId="77777777" w:rsidR="002C26FA" w:rsidRPr="002C26FA" w:rsidRDefault="002C26FA" w:rsidP="002C26FA">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2C26FA">
              <w:rPr>
                <w:rFonts w:cs="Arial"/>
              </w:rPr>
              <w:t xml:space="preserve">In Spain, a plaintiff could request compensation for damages, depending on the breach that has been committed. </w:t>
            </w:r>
          </w:p>
          <w:p w14:paraId="3B7D0894" w14:textId="044960F2" w:rsidR="002C26FA" w:rsidRPr="002C26FA" w:rsidRDefault="002C26FA" w:rsidP="002C26FA">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2C26FA">
              <w:rPr>
                <w:rFonts w:cs="Arial"/>
              </w:rPr>
              <w:t xml:space="preserve">Before going to ordinary courts, in advertising matters you can go to the Advertising Jury to present a claim by consumers or by entities that are not consumers. </w:t>
            </w:r>
          </w:p>
          <w:p w14:paraId="2B7EA753" w14:textId="29A4ABF5" w:rsidR="00BF7EA5" w:rsidRPr="0016559B" w:rsidRDefault="002C26FA" w:rsidP="002C26FA">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2C26FA">
              <w:rPr>
                <w:rFonts w:cs="Arial"/>
              </w:rPr>
              <w:t>If the violation is serious, fines and sanctions can be requested, or even if there is criminal liability, prison sentences can be requested for those responsible.</w:t>
            </w:r>
            <w:r>
              <w:rPr>
                <w:rFonts w:cs="Arial"/>
              </w:rPr>
              <w:t xml:space="preserve"> </w:t>
            </w:r>
            <w:hyperlink r:id="rId107" w:anchor="Jurado" w:history="1">
              <w:r w:rsidRPr="002C26FA">
                <w:rPr>
                  <w:rStyle w:val="Hyperlink"/>
                  <w:rFonts w:cs="Arial"/>
                </w:rPr>
                <w:t>AUTOCONTROL</w:t>
              </w:r>
            </w:hyperlink>
            <w:r>
              <w:rPr>
                <w:rFonts w:cs="Arial"/>
              </w:rPr>
              <w:t>.</w:t>
            </w:r>
          </w:p>
        </w:tc>
      </w:tr>
      <w:tr w:rsidR="000F492D" w14:paraId="61927CCC" w14:textId="77777777" w:rsidTr="33F03C23">
        <w:trPr>
          <w:gridAfter w:val="1"/>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73313A3F" w14:textId="77777777" w:rsidR="00725DA9" w:rsidRDefault="00D97AF7" w:rsidP="00725DA9">
            <w:pPr>
              <w:spacing w:line="276" w:lineRule="auto"/>
              <w:rPr>
                <w:rFonts w:cs="Arial"/>
                <w:color w:val="747474" w:themeColor="background2" w:themeShade="80"/>
              </w:rPr>
            </w:pPr>
            <w:r>
              <w:rPr>
                <w:rFonts w:cs="Arial"/>
                <w:color w:val="747474" w:themeColor="background2" w:themeShade="80"/>
              </w:rPr>
              <w:t>4.12</w:t>
            </w:r>
          </w:p>
        </w:tc>
        <w:tc>
          <w:tcPr>
            <w:tcW w:w="2126" w:type="dxa"/>
            <w:gridSpan w:val="2"/>
          </w:tcPr>
          <w:p w14:paraId="42947D78" w14:textId="77777777" w:rsidR="00725DA9" w:rsidRDefault="00D97AF7" w:rsidP="00725DA9">
            <w:pPr>
              <w:pStyle w:val="Subjectcolumntext"/>
              <w:cnfStyle w:val="000000000000" w:firstRow="0" w:lastRow="0" w:firstColumn="0" w:lastColumn="0" w:oddVBand="0" w:evenVBand="0" w:oddHBand="0" w:evenHBand="0" w:firstRowFirstColumn="0" w:firstRowLastColumn="0" w:lastRowFirstColumn="0" w:lastRowLastColumn="0"/>
            </w:pPr>
            <w:r w:rsidRPr="00D9303F">
              <w:t>When do consumers have a right of action?</w:t>
            </w:r>
          </w:p>
        </w:tc>
        <w:tc>
          <w:tcPr>
            <w:tcW w:w="2127" w:type="dxa"/>
            <w:gridSpan w:val="2"/>
          </w:tcPr>
          <w:p w14:paraId="559E44BA" w14:textId="77777777" w:rsidR="00725DA9" w:rsidRDefault="00725DA9" w:rsidP="00725DA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gridSpan w:val="2"/>
          </w:tcPr>
          <w:p w14:paraId="33BF6F22" w14:textId="77777777" w:rsidR="00725DA9" w:rsidRDefault="00D97AF7" w:rsidP="000F2F0F">
            <w:pPr>
              <w:spacing w:after="160"/>
              <w:cnfStyle w:val="000000000000" w:firstRow="0" w:lastRow="0" w:firstColumn="0" w:lastColumn="0" w:oddVBand="0" w:evenVBand="0" w:oddHBand="0" w:evenHBand="0" w:firstRowFirstColumn="0" w:firstRowLastColumn="0" w:lastRowFirstColumn="0" w:lastRowLastColumn="0"/>
              <w:rPr>
                <w:color w:val="000000"/>
              </w:rPr>
            </w:pPr>
            <w:r>
              <w:t>The recast General Law for the Defence of Consumers</w:t>
            </w:r>
            <w:r w:rsidR="009F0178">
              <w:t xml:space="preserve"> </w:t>
            </w:r>
            <w:r>
              <w:t>(Royal-Legislative Decree 1/2007, of 16 November, or “GLDC”) contains the essential rules and regulations regarding consumer rights in Spain</w:t>
            </w:r>
            <w:r w:rsidR="004A0A09">
              <w:t xml:space="preserve"> [</w:t>
            </w:r>
            <w:r w:rsidR="004A0A09" w:rsidRPr="004A0A09">
              <w:t>Real Decreto Legislativo 1/2007, de 16 de noviembre, por el que se aprueba el texto refundido de la Ley General para la Defensa de los Consumidores y Usuarios y otras leyes complementarias] (</w:t>
            </w:r>
            <w:hyperlink r:id="rId108" w:history="1">
              <w:r w:rsidR="004A0A09" w:rsidRPr="004A0A09">
                <w:rPr>
                  <w:rStyle w:val="Hyperlink"/>
                </w:rPr>
                <w:t>BOE, 2007</w:t>
              </w:r>
            </w:hyperlink>
            <w:r w:rsidR="004A0A09" w:rsidRPr="004A0A09">
              <w:t>)</w:t>
            </w:r>
            <w:r w:rsidR="004A0A09">
              <w:t>]</w:t>
            </w:r>
            <w:r w:rsidR="00781F0E">
              <w:t xml:space="preserve">. </w:t>
            </w:r>
            <w:r w:rsidR="009F0178">
              <w:t>A consumer (</w:t>
            </w:r>
            <w:r w:rsidR="009F0178">
              <w:rPr>
                <w:rStyle w:val="Emphasis"/>
              </w:rPr>
              <w:t>consumidor y usuario</w:t>
            </w:r>
            <w:r w:rsidR="009F0178">
              <w:t xml:space="preserve">) is defined by Article 3.1 of the </w:t>
            </w:r>
            <w:r w:rsidR="002B1342">
              <w:t>GLDC as</w:t>
            </w:r>
            <w:r w:rsidR="004A0A09">
              <w:t xml:space="preserve"> </w:t>
            </w:r>
            <w:r w:rsidR="009F0178">
              <w:t>a natural person acting for purposes outside his/her trade, business, craft or profession</w:t>
            </w:r>
            <w:r w:rsidR="002B1342">
              <w:t xml:space="preserve">. Consumers </w:t>
            </w:r>
            <w:r>
              <w:rPr>
                <w:color w:val="000000"/>
              </w:rPr>
              <w:t>may exercise legal actions seeking: a declaration of disloyalty; cessation of unfair conduct; prohibition of the implementation or future repetition; removal of its effects; and the rectification of misleading, incorrect or false information</w:t>
            </w:r>
            <w:r w:rsidR="002B1342">
              <w:rPr>
                <w:color w:val="000000"/>
              </w:rPr>
              <w:t xml:space="preserve"> (BOE, 2023b)</w:t>
            </w:r>
            <w:r>
              <w:rPr>
                <w:color w:val="000000"/>
              </w:rPr>
              <w:t xml:space="preserve">. </w:t>
            </w:r>
          </w:p>
          <w:p w14:paraId="521743D7" w14:textId="77777777" w:rsidR="00725DA9" w:rsidRPr="0016559B" w:rsidRDefault="00D97AF7" w:rsidP="000F2F0F">
            <w:pPr>
              <w:cnfStyle w:val="000000000000" w:firstRow="0" w:lastRow="0" w:firstColumn="0" w:lastColumn="0" w:oddVBand="0" w:evenVBand="0" w:oddHBand="0" w:evenHBand="0" w:firstRowFirstColumn="0" w:firstRowLastColumn="0" w:lastRowFirstColumn="0" w:lastRowLastColumn="0"/>
              <w:rPr>
                <w:rFonts w:cs="Arial"/>
              </w:rPr>
            </w:pPr>
            <w:r>
              <w:rPr>
                <w:color w:val="000000"/>
              </w:rPr>
              <w:t xml:space="preserve">In addition, any person or entity whose economic interests are directly affected or threatened by illegal advertising in the market is entitled to take civil action under the Unfair Competition Act </w:t>
            </w:r>
            <w:r w:rsidR="004A0A09" w:rsidRPr="004A0A09">
              <w:rPr>
                <w:color w:val="000000"/>
              </w:rPr>
              <w:t>3/1991 [Ley 3/1991, de 10 de enero, de Competencia Desleal] [</w:t>
            </w:r>
            <w:hyperlink r:id="rId109" w:history="1">
              <w:r w:rsidR="004A0A09" w:rsidRPr="004A0A09">
                <w:rPr>
                  <w:rStyle w:val="Hyperlink"/>
                </w:rPr>
                <w:t>BOE, 1991</w:t>
              </w:r>
            </w:hyperlink>
            <w:r w:rsidR="004A0A09" w:rsidRPr="004A0A09">
              <w:rPr>
                <w:color w:val="000000"/>
              </w:rPr>
              <w:t xml:space="preserve">] (civil proceeding). </w:t>
            </w:r>
          </w:p>
        </w:tc>
      </w:tr>
      <w:tr w:rsidR="000F492D" w14:paraId="6F50173F" w14:textId="77777777" w:rsidTr="33F03C23">
        <w:trPr>
          <w:gridAfter w:val="1"/>
          <w:cnfStyle w:val="000000100000" w:firstRow="0" w:lastRow="0" w:firstColumn="0" w:lastColumn="0" w:oddVBand="0" w:evenVBand="0" w:oddHBand="1" w:evenHBand="0" w:firstRowFirstColumn="0" w:firstRowLastColumn="0" w:lastRowFirstColumn="0" w:lastRowLastColumn="0"/>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4BCA9B50" w14:textId="77777777" w:rsidR="00725DA9" w:rsidRDefault="00D97AF7" w:rsidP="00725DA9">
            <w:pPr>
              <w:spacing w:line="276" w:lineRule="auto"/>
              <w:rPr>
                <w:rFonts w:cs="Arial"/>
                <w:color w:val="747474" w:themeColor="background2" w:themeShade="80"/>
              </w:rPr>
            </w:pPr>
            <w:r>
              <w:rPr>
                <w:rFonts w:cs="Arial"/>
                <w:color w:val="747474" w:themeColor="background2" w:themeShade="80"/>
              </w:rPr>
              <w:lastRenderedPageBreak/>
              <w:t>4.13</w:t>
            </w:r>
          </w:p>
        </w:tc>
        <w:tc>
          <w:tcPr>
            <w:tcW w:w="2126" w:type="dxa"/>
            <w:gridSpan w:val="2"/>
          </w:tcPr>
          <w:p w14:paraId="36B539E9" w14:textId="77777777" w:rsidR="00725DA9" w:rsidRDefault="00D97AF7" w:rsidP="00725DA9">
            <w:pPr>
              <w:pStyle w:val="Subjectcolumntext"/>
              <w:cnfStyle w:val="000000100000" w:firstRow="0" w:lastRow="0" w:firstColumn="0" w:lastColumn="0" w:oddVBand="0" w:evenVBand="0" w:oddHBand="1" w:evenHBand="0" w:firstRowFirstColumn="0" w:firstRowLastColumn="0" w:lastRowFirstColumn="0" w:lastRowLastColumn="0"/>
            </w:pPr>
            <w:r w:rsidRPr="00D9303F">
              <w:t>What are the potential remedies?</w:t>
            </w:r>
          </w:p>
        </w:tc>
        <w:tc>
          <w:tcPr>
            <w:tcW w:w="2127" w:type="dxa"/>
            <w:gridSpan w:val="2"/>
          </w:tcPr>
          <w:p w14:paraId="617B5E0F" w14:textId="77777777" w:rsidR="00725DA9" w:rsidRDefault="00725DA9" w:rsidP="00725DA9">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gridSpan w:val="2"/>
          </w:tcPr>
          <w:p w14:paraId="54D44B0D" w14:textId="1A8057F2" w:rsidR="00725DA9" w:rsidRPr="0016559B" w:rsidRDefault="002C26FA" w:rsidP="00725DA9">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2C26FA">
              <w:rPr>
                <w:rFonts w:cs="Arial"/>
              </w:rPr>
              <w:t xml:space="preserve">If the plaintiff is a consumer, you can proceed the same </w:t>
            </w:r>
            <w:r w:rsidR="009275C8">
              <w:rPr>
                <w:rFonts w:cs="Arial"/>
              </w:rPr>
              <w:t xml:space="preserve">way </w:t>
            </w:r>
            <w:r w:rsidRPr="002C26FA">
              <w:rPr>
                <w:rFonts w:cs="Arial"/>
              </w:rPr>
              <w:t>as a competitor</w:t>
            </w:r>
            <w:r w:rsidR="009275C8">
              <w:rPr>
                <w:rFonts w:cs="Arial"/>
              </w:rPr>
              <w:t xml:space="preserve"> would</w:t>
            </w:r>
            <w:r w:rsidRPr="002C26FA">
              <w:rPr>
                <w:rFonts w:cs="Arial"/>
              </w:rPr>
              <w:t>: request</w:t>
            </w:r>
            <w:r w:rsidR="009275C8">
              <w:rPr>
                <w:rFonts w:cs="Arial"/>
              </w:rPr>
              <w:t>ing</w:t>
            </w:r>
            <w:r w:rsidRPr="002C26FA">
              <w:rPr>
                <w:rFonts w:cs="Arial"/>
              </w:rPr>
              <w:t xml:space="preserve"> compensation for damages, go</w:t>
            </w:r>
            <w:r w:rsidR="009275C8">
              <w:rPr>
                <w:rFonts w:cs="Arial"/>
              </w:rPr>
              <w:t>ing</w:t>
            </w:r>
            <w:r w:rsidRPr="002C26FA">
              <w:rPr>
                <w:rFonts w:cs="Arial"/>
              </w:rPr>
              <w:t xml:space="preserve"> to the Advertising Jury to present a claim and</w:t>
            </w:r>
            <w:r w:rsidR="009275C8">
              <w:rPr>
                <w:rFonts w:cs="Arial"/>
              </w:rPr>
              <w:t>,</w:t>
            </w:r>
            <w:r w:rsidRPr="002C26FA">
              <w:rPr>
                <w:rFonts w:cs="Arial"/>
              </w:rPr>
              <w:t xml:space="preserve"> if the infringement includes the commission of a crime, fines may be requested. and/or prison for those responsible.</w:t>
            </w:r>
          </w:p>
        </w:tc>
      </w:tr>
      <w:tr w:rsidR="000F492D" w14:paraId="67A8AB3D" w14:textId="77777777" w:rsidTr="33F03C23">
        <w:trPr>
          <w:gridAfter w:val="1"/>
          <w:wAfter w:w="114" w:type="dxa"/>
          <w:trHeight w:val="170"/>
        </w:trPr>
        <w:tc>
          <w:tcPr>
            <w:cnfStyle w:val="001000000000" w:firstRow="0" w:lastRow="0" w:firstColumn="1" w:lastColumn="0" w:oddVBand="0" w:evenVBand="0" w:oddHBand="0" w:evenHBand="0" w:firstRowFirstColumn="0" w:firstRowLastColumn="0" w:lastRowFirstColumn="0" w:lastRowLastColumn="0"/>
            <w:tcW w:w="851" w:type="dxa"/>
            <w:gridSpan w:val="2"/>
          </w:tcPr>
          <w:p w14:paraId="6E98D0CF" w14:textId="77777777" w:rsidR="00725DA9" w:rsidRDefault="00D97AF7" w:rsidP="00725DA9">
            <w:pPr>
              <w:spacing w:line="276" w:lineRule="auto"/>
              <w:rPr>
                <w:rFonts w:cs="Arial"/>
                <w:color w:val="747474" w:themeColor="background2" w:themeShade="80"/>
              </w:rPr>
            </w:pPr>
            <w:r>
              <w:rPr>
                <w:rFonts w:cs="Arial"/>
                <w:color w:val="747474" w:themeColor="background2" w:themeShade="80"/>
              </w:rPr>
              <w:t>4.14</w:t>
            </w:r>
          </w:p>
        </w:tc>
        <w:tc>
          <w:tcPr>
            <w:tcW w:w="2126" w:type="dxa"/>
            <w:gridSpan w:val="2"/>
          </w:tcPr>
          <w:p w14:paraId="778F7807" w14:textId="77777777" w:rsidR="00725DA9" w:rsidRDefault="00D97AF7" w:rsidP="00725DA9">
            <w:pPr>
              <w:pStyle w:val="Subjectcolumntext"/>
              <w:cnfStyle w:val="000000000000" w:firstRow="0" w:lastRow="0" w:firstColumn="0" w:lastColumn="0" w:oddVBand="0" w:evenVBand="0" w:oddHBand="0" w:evenHBand="0" w:firstRowFirstColumn="0" w:firstRowLastColumn="0" w:lastRowFirstColumn="0" w:lastRowLastColumn="0"/>
            </w:pPr>
            <w:r w:rsidRPr="009A7161">
              <w:t xml:space="preserve">Regulatory Environment </w:t>
            </w:r>
            <w:r>
              <w:br/>
            </w:r>
            <w:r w:rsidRPr="005C3698">
              <w:rPr>
                <w:b w:val="0"/>
                <w:bCs w:val="0"/>
              </w:rPr>
              <w:t>(2020-2025)</w:t>
            </w:r>
          </w:p>
        </w:tc>
        <w:tc>
          <w:tcPr>
            <w:tcW w:w="2127" w:type="dxa"/>
            <w:gridSpan w:val="2"/>
          </w:tcPr>
          <w:p w14:paraId="55FC94DC" w14:textId="77777777" w:rsidR="00725DA9" w:rsidRDefault="00725DA9" w:rsidP="00725DA9">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gridSpan w:val="2"/>
          </w:tcPr>
          <w:p w14:paraId="55E7A08D" w14:textId="2F31B4C4" w:rsidR="004A0A09" w:rsidRDefault="00D97AF7" w:rsidP="004A0A09">
            <w:pPr>
              <w:cnfStyle w:val="000000000000" w:firstRow="0" w:lastRow="0" w:firstColumn="0" w:lastColumn="0" w:oddVBand="0" w:evenVBand="0" w:oddHBand="0" w:evenHBand="0" w:firstRowFirstColumn="0" w:firstRowLastColumn="0" w:lastRowFirstColumn="0" w:lastRowLastColumn="0"/>
              <w:rPr>
                <w:rFonts w:cs="Arial"/>
              </w:rPr>
            </w:pPr>
            <w:r w:rsidRPr="00065FC3">
              <w:t>Legal pressure</w:t>
            </w:r>
            <w:r w:rsidR="009275C8">
              <w:t>s</w:t>
            </w:r>
            <w:r w:rsidRPr="00065FC3">
              <w:t xml:space="preserve"> increased in 2020 for two economic sectors in Spain.  In banking, the Spanish Central Bank published a new procedure </w:t>
            </w:r>
            <w:r w:rsidR="009275C8" w:rsidRPr="009275C8">
              <w:t xml:space="preserve">in September </w:t>
            </w:r>
            <w:r w:rsidRPr="00065FC3">
              <w:t>that all banks and financial entities must follow before advertising in the Spanish market.</w:t>
            </w:r>
            <w:r>
              <w:t xml:space="preserve"> </w:t>
            </w:r>
            <w:r w:rsidRPr="00226934">
              <w:rPr>
                <w:rFonts w:cs="Arial"/>
              </w:rPr>
              <w:t>Bank of Spain Circular 4/2020 on the advertising of banking products and services [Circular 4/2020, de 26 de junio, del Banco de España, sobre publicidad de los productos y servicios bancarios] (</w:t>
            </w:r>
            <w:hyperlink r:id="rId110" w:history="1">
              <w:r w:rsidRPr="00226934">
                <w:rPr>
                  <w:rStyle w:val="Hyperlink"/>
                  <w:rFonts w:cs="Arial"/>
                </w:rPr>
                <w:t>BOE, 2020</w:t>
              </w:r>
            </w:hyperlink>
            <w:r>
              <w:t>)</w:t>
            </w:r>
            <w:r w:rsidRPr="004A0A09">
              <w:rPr>
                <w:rFonts w:cs="Arial"/>
              </w:rPr>
              <w:t xml:space="preserve"> update</w:t>
            </w:r>
            <w:r>
              <w:rPr>
                <w:rFonts w:cs="Arial"/>
              </w:rPr>
              <w:t>s</w:t>
            </w:r>
            <w:r w:rsidRPr="004A0A09">
              <w:rPr>
                <w:rFonts w:cs="Arial"/>
              </w:rPr>
              <w:t xml:space="preserve"> certain regulations as a result of the digital impact and control mechanisms</w:t>
            </w:r>
            <w:r w:rsidR="009275C8">
              <w:rPr>
                <w:rFonts w:cs="Arial"/>
              </w:rPr>
              <w:t>,</w:t>
            </w:r>
            <w:r w:rsidRPr="004A0A09">
              <w:rPr>
                <w:rFonts w:cs="Arial"/>
              </w:rPr>
              <w:t xml:space="preserve"> including voluntary adherence to advertising self-regulation systems and ensuring early correction of inappropriate conduct.</w:t>
            </w:r>
          </w:p>
          <w:p w14:paraId="320718E4" w14:textId="77777777" w:rsidR="004A0A09" w:rsidRDefault="004A0A09" w:rsidP="004A0A09">
            <w:pPr>
              <w:cnfStyle w:val="000000000000" w:firstRow="0" w:lastRow="0" w:firstColumn="0" w:lastColumn="0" w:oddVBand="0" w:evenVBand="0" w:oddHBand="0" w:evenHBand="0" w:firstRowFirstColumn="0" w:firstRowLastColumn="0" w:lastRowFirstColumn="0" w:lastRowLastColumn="0"/>
              <w:rPr>
                <w:rFonts w:cs="Arial"/>
              </w:rPr>
            </w:pPr>
          </w:p>
          <w:p w14:paraId="5552AA3C" w14:textId="72F90753" w:rsidR="004A0A09" w:rsidRDefault="00D97AF7" w:rsidP="004A0A09">
            <w:pPr>
              <w:cnfStyle w:val="000000000000" w:firstRow="0" w:lastRow="0" w:firstColumn="0" w:lastColumn="0" w:oddVBand="0" w:evenVBand="0" w:oddHBand="0" w:evenHBand="0" w:firstRowFirstColumn="0" w:firstRowLastColumn="0" w:lastRowFirstColumn="0" w:lastRowLastColumn="0"/>
            </w:pPr>
            <w:r w:rsidRPr="00065FC3">
              <w:t>In the gambling sector, which due to the increase of on-line gambling during the lockdown was severely restricted, the government announced that restrictions will remain through a new specific regulation.  Indeed, the new regulation (Royal Decree 958/2020) was finally published on November 4th and entered into force the next day (with some transitional periods for contracts signed under former regulations). Several rules for the protection of minors</w:t>
            </w:r>
            <w:r w:rsidR="009275C8">
              <w:t>,</w:t>
            </w:r>
            <w:r w:rsidRPr="00065FC3">
              <w:t xml:space="preserve"> as well as responsible gaming policies</w:t>
            </w:r>
            <w:r w:rsidR="009275C8">
              <w:t>,</w:t>
            </w:r>
            <w:r w:rsidRPr="00065FC3">
              <w:t xml:space="preserve"> and gaming consumer protection were included. Restrictions on sponsorship and promotional activities</w:t>
            </w:r>
            <w:r w:rsidR="009275C8">
              <w:t>,</w:t>
            </w:r>
            <w:r w:rsidRPr="00065FC3">
              <w:t xml:space="preserve"> both on the content and broadcasting hours were adopted.  Sports clubs may not sponsor game activities on t-shirts and sports equipment</w:t>
            </w:r>
            <w:r w:rsidR="009275C8">
              <w:t xml:space="preserve">, </w:t>
            </w:r>
            <w:r w:rsidRPr="00065FC3">
              <w:t>and the inclusion of people or characters of public notoriety is forbidden.</w:t>
            </w:r>
          </w:p>
          <w:p w14:paraId="5F599D9B" w14:textId="77777777" w:rsidR="004A0A09" w:rsidRDefault="004A0A09" w:rsidP="004A0A09">
            <w:pPr>
              <w:cnfStyle w:val="000000000000" w:firstRow="0" w:lastRow="0" w:firstColumn="0" w:lastColumn="0" w:oddVBand="0" w:evenVBand="0" w:oddHBand="0" w:evenHBand="0" w:firstRowFirstColumn="0" w:firstRowLastColumn="0" w:lastRowFirstColumn="0" w:lastRowLastColumn="0"/>
            </w:pPr>
          </w:p>
          <w:p w14:paraId="0C002D09" w14:textId="77777777" w:rsidR="004A0A09" w:rsidRPr="004A0A09" w:rsidRDefault="00D97AF7" w:rsidP="004A0A09">
            <w:pPr>
              <w:cnfStyle w:val="000000000000" w:firstRow="0" w:lastRow="0" w:firstColumn="0" w:lastColumn="0" w:oddVBand="0" w:evenVBand="0" w:oddHBand="0" w:evenHBand="0" w:firstRowFirstColumn="0" w:firstRowLastColumn="0" w:lastRowFirstColumn="0" w:lastRowLastColumn="0"/>
              <w:rPr>
                <w:rFonts w:cs="Arial"/>
              </w:rPr>
            </w:pPr>
            <w:r w:rsidRPr="004A0A09">
              <w:rPr>
                <w:rFonts w:cs="Arial"/>
              </w:rPr>
              <w:t>General Telecommunications Law 11/2022 [Law [Ley 11/2022, de 28 de junio, General de Telecomunicaciones] (</w:t>
            </w:r>
            <w:hyperlink w:history="1">
              <w:r w:rsidRPr="004A0A09">
                <w:rPr>
                  <w:rStyle w:val="Hyperlink"/>
                  <w:rFonts w:cs="Arial"/>
                </w:rPr>
                <w:t>BOE, 2022b</w:t>
              </w:r>
            </w:hyperlink>
            <w:r w:rsidRPr="004A0A09">
              <w:rPr>
                <w:rFonts w:cs="Arial"/>
              </w:rPr>
              <w:t>) regulates the right not to receive unwanted direct or automatic calls for commercial communication purposes without prior permission.</w:t>
            </w:r>
          </w:p>
          <w:p w14:paraId="7DCC710E" w14:textId="77777777" w:rsidR="004A0A09" w:rsidRPr="004A0A09" w:rsidRDefault="004A0A09" w:rsidP="004A0A09">
            <w:pPr>
              <w:cnfStyle w:val="000000000000" w:firstRow="0" w:lastRow="0" w:firstColumn="0" w:lastColumn="0" w:oddVBand="0" w:evenVBand="0" w:oddHBand="0" w:evenHBand="0" w:firstRowFirstColumn="0" w:firstRowLastColumn="0" w:lastRowFirstColumn="0" w:lastRowLastColumn="0"/>
              <w:rPr>
                <w:rFonts w:cs="Arial"/>
              </w:rPr>
            </w:pPr>
          </w:p>
          <w:p w14:paraId="271A2E88" w14:textId="16239DA6" w:rsidR="004A0A09" w:rsidRPr="004A0A09" w:rsidRDefault="00D97AF7" w:rsidP="004A0A09">
            <w:pPr>
              <w:cnfStyle w:val="000000000000" w:firstRow="0" w:lastRow="0" w:firstColumn="0" w:lastColumn="0" w:oddVBand="0" w:evenVBand="0" w:oddHBand="0" w:evenHBand="0" w:firstRowFirstColumn="0" w:firstRowLastColumn="0" w:lastRowFirstColumn="0" w:lastRowLastColumn="0"/>
              <w:rPr>
                <w:rFonts w:cs="Arial"/>
              </w:rPr>
            </w:pPr>
            <w:r w:rsidRPr="004A0A09">
              <w:rPr>
                <w:rFonts w:cs="Arial"/>
              </w:rPr>
              <w:t>Royal Decree 1138/2023</w:t>
            </w:r>
            <w:r w:rsidR="009275C8">
              <w:rPr>
                <w:rFonts w:cs="Arial"/>
              </w:rPr>
              <w:t>:</w:t>
            </w:r>
            <w:r w:rsidRPr="004A0A09">
              <w:rPr>
                <w:rFonts w:cs="Arial"/>
              </w:rPr>
              <w:t xml:space="preserve"> The providers of the service of aggregation of audiovisual communication services, the providers of the service of exchange of videos through platforms and the users of special relevance of the services of exchange of videos through platforms have the duty to register in the State Register of providers of audiovisual communication service</w:t>
            </w:r>
            <w:r w:rsidR="009275C8">
              <w:rPr>
                <w:rFonts w:cs="Arial"/>
              </w:rPr>
              <w:t>s</w:t>
            </w:r>
            <w:r w:rsidRPr="004A0A09">
              <w:rPr>
                <w:rFonts w:cs="Arial"/>
              </w:rPr>
              <w:t>, of providers of the service of exchange of videos through platforms</w:t>
            </w:r>
            <w:r w:rsidR="009275C8">
              <w:rPr>
                <w:rFonts w:cs="Arial"/>
              </w:rPr>
              <w:t>,</w:t>
            </w:r>
            <w:r w:rsidRPr="004A0A09">
              <w:rPr>
                <w:rFonts w:cs="Arial"/>
              </w:rPr>
              <w:t xml:space="preserve"> and of providers of the service of aggregation of audiovisual </w:t>
            </w:r>
            <w:r w:rsidRPr="004A0A09">
              <w:rPr>
                <w:rFonts w:cs="Arial"/>
              </w:rPr>
              <w:lastRenderedPageBreak/>
              <w:t xml:space="preserve">communication services [Real Decreto 1138/2023, de 19 de diciembre, por el que se regulan el Registro estatal de prestadores del servicio de comunicación audiovisual, de prestadores del servicio de intercambio de vídeos a través de plataforma y de prestadores del servicio de agregación de servicios de comunicación audiovisual y el procedimiento de comunicación previa de inicio de actividad] </w:t>
            </w:r>
            <w:hyperlink w:history="1">
              <w:r w:rsidRPr="004A0A09">
                <w:rPr>
                  <w:rStyle w:val="Hyperlink"/>
                  <w:rFonts w:cs="Arial"/>
                </w:rPr>
                <w:t>[BOE, 2023]</w:t>
              </w:r>
            </w:hyperlink>
            <w:r w:rsidRPr="004A0A09">
              <w:rPr>
                <w:rFonts w:cs="Arial"/>
              </w:rPr>
              <w:t>.</w:t>
            </w:r>
          </w:p>
          <w:p w14:paraId="3277E868" w14:textId="77777777" w:rsidR="004A0A09" w:rsidRDefault="004A0A09" w:rsidP="004A0A09">
            <w:pPr>
              <w:cnfStyle w:val="000000000000" w:firstRow="0" w:lastRow="0" w:firstColumn="0" w:lastColumn="0" w:oddVBand="0" w:evenVBand="0" w:oddHBand="0" w:evenHBand="0" w:firstRowFirstColumn="0" w:firstRowLastColumn="0" w:lastRowFirstColumn="0" w:lastRowLastColumn="0"/>
              <w:rPr>
                <w:rFonts w:cstheme="minorHAnsi"/>
              </w:rPr>
            </w:pPr>
          </w:p>
          <w:p w14:paraId="3D1B9ED2" w14:textId="6F6399A2" w:rsidR="004A0A09" w:rsidRPr="000F2F0F" w:rsidRDefault="00D97AF7" w:rsidP="00065FC3">
            <w:pPr>
              <w:cnfStyle w:val="000000000000" w:firstRow="0" w:lastRow="0" w:firstColumn="0" w:lastColumn="0" w:oddVBand="0" w:evenVBand="0" w:oddHBand="0" w:evenHBand="0" w:firstRowFirstColumn="0" w:firstRowLastColumn="0" w:lastRowFirstColumn="0" w:lastRowLastColumn="0"/>
            </w:pPr>
            <w:r w:rsidRPr="00065FC3">
              <w:t>On the privacy side, the Spanish Data Protection Agency published a new guide for the use of cookies, changing its previous flexible position on this matter. Finally, the Spanish Supreme Court has rendered some important rulings regarding surreptitious advertising and product placement (GALA 2020)</w:t>
            </w:r>
            <w:r w:rsidR="002B6E32" w:rsidRPr="00065FC3">
              <w:t>.</w:t>
            </w:r>
          </w:p>
        </w:tc>
      </w:tr>
    </w:tbl>
    <w:p w14:paraId="4CBE31E7" w14:textId="77777777" w:rsidR="00955813" w:rsidRPr="005F3475" w:rsidRDefault="00D97AF7" w:rsidP="00291EED">
      <w:pPr>
        <w:pStyle w:val="SectionHead"/>
      </w:pPr>
      <w:bookmarkStart w:id="11" w:name="_Toc170136345"/>
      <w:r w:rsidRPr="00291EED">
        <w:lastRenderedPageBreak/>
        <w:t>Advertising:  Self-regulation</w:t>
      </w:r>
      <w:bookmarkEnd w:id="11"/>
      <w:r w:rsidRPr="005F3475">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9"/>
        <w:gridCol w:w="5616"/>
      </w:tblGrid>
      <w:tr w:rsidR="000F492D" w14:paraId="241BB8E7"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sz="0" w:space="0" w:color="auto"/>
            </w:tcBorders>
          </w:tcPr>
          <w:p w14:paraId="378D5697" w14:textId="77777777" w:rsidR="00955813" w:rsidRPr="00424EE4" w:rsidRDefault="00D97AF7" w:rsidP="00F92CC7">
            <w:pPr>
              <w:pStyle w:val="Tableheadings"/>
            </w:pPr>
            <w:r w:rsidRPr="00424EE4">
              <w:rPr>
                <w:b/>
                <w:bCs/>
              </w:rPr>
              <w:t>Item</w:t>
            </w:r>
          </w:p>
        </w:tc>
        <w:tc>
          <w:tcPr>
            <w:tcW w:w="2192" w:type="dxa"/>
            <w:tcBorders>
              <w:bottom w:val="none" w:sz="0" w:space="0" w:color="auto"/>
            </w:tcBorders>
          </w:tcPr>
          <w:p w14:paraId="443FB95E" w14:textId="77777777" w:rsidR="00955813"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Subject</w:t>
            </w:r>
          </w:p>
        </w:tc>
        <w:tc>
          <w:tcPr>
            <w:tcW w:w="2119" w:type="dxa"/>
            <w:tcBorders>
              <w:bottom w:val="none" w:sz="0" w:space="0" w:color="auto"/>
            </w:tcBorders>
          </w:tcPr>
          <w:p w14:paraId="5BB7352C" w14:textId="77777777" w:rsidR="00955813"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 xml:space="preserve">Classification </w:t>
            </w:r>
          </w:p>
        </w:tc>
        <w:tc>
          <w:tcPr>
            <w:tcW w:w="5616" w:type="dxa"/>
            <w:tcBorders>
              <w:bottom w:val="none" w:sz="0" w:space="0" w:color="auto"/>
            </w:tcBorders>
          </w:tcPr>
          <w:p w14:paraId="1E7FB3A6" w14:textId="77777777" w:rsidR="00955813"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Description</w:t>
            </w:r>
          </w:p>
        </w:tc>
      </w:tr>
      <w:tr w:rsidR="000F492D" w14:paraId="40B9A5D4"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56914857" w14:textId="77777777" w:rsidR="00955813" w:rsidRPr="00203503" w:rsidRDefault="00D97AF7" w:rsidP="00F92CC7">
            <w:pPr>
              <w:spacing w:line="276" w:lineRule="auto"/>
              <w:rPr>
                <w:rFonts w:cs="Arial"/>
                <w:color w:val="747474" w:themeColor="background2" w:themeShade="80"/>
              </w:rPr>
            </w:pPr>
            <w:r>
              <w:rPr>
                <w:rFonts w:cs="Arial"/>
                <w:color w:val="747474" w:themeColor="background2" w:themeShade="80"/>
              </w:rPr>
              <w:t>5.1</w:t>
            </w:r>
          </w:p>
        </w:tc>
        <w:tc>
          <w:tcPr>
            <w:tcW w:w="2192" w:type="dxa"/>
            <w:tcBorders>
              <w:top w:val="none" w:sz="0" w:space="0" w:color="auto"/>
              <w:bottom w:val="none" w:sz="0" w:space="0" w:color="auto"/>
            </w:tcBorders>
          </w:tcPr>
          <w:p w14:paraId="1E9103F4" w14:textId="77777777" w:rsidR="00955813" w:rsidRPr="000004F6"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9742CF">
              <w:t xml:space="preserve">Does </w:t>
            </w:r>
            <w:r w:rsidR="00086E90" w:rsidRPr="00086E90">
              <w:t>Spain</w:t>
            </w:r>
            <w:r w:rsidR="00086E90">
              <w:rPr>
                <w:b w:val="0"/>
                <w:bCs w:val="0"/>
              </w:rPr>
              <w:t xml:space="preserve"> </w:t>
            </w:r>
            <w:r w:rsidRPr="009742CF">
              <w:t>have a primary advertising SRO?</w:t>
            </w:r>
          </w:p>
        </w:tc>
        <w:tc>
          <w:tcPr>
            <w:tcW w:w="2119" w:type="dxa"/>
            <w:tcBorders>
              <w:top w:val="none" w:sz="0" w:space="0" w:color="auto"/>
              <w:bottom w:val="none" w:sz="0" w:space="0" w:color="auto"/>
            </w:tcBorders>
          </w:tcPr>
          <w:p w14:paraId="3C517305" w14:textId="77777777" w:rsidR="00955813" w:rsidRPr="00745C48" w:rsidRDefault="00955813"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Borders>
              <w:top w:val="none" w:sz="0" w:space="0" w:color="auto"/>
              <w:bottom w:val="none" w:sz="0" w:space="0" w:color="auto"/>
            </w:tcBorders>
          </w:tcPr>
          <w:p w14:paraId="1BB65651" w14:textId="2F61165E" w:rsidR="00DF3A8B" w:rsidRDefault="00D97AF7" w:rsidP="000F2F0F">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F3A8B">
              <w:rPr>
                <w:rFonts w:ascii="Arial" w:hAnsi="Arial" w:cs="Arial"/>
                <w:sz w:val="22"/>
                <w:szCs w:val="22"/>
              </w:rPr>
              <w:t>In Spain, the Commercial Communication Self-Regulation Association (Autocontrol) administers an advertising self-regulatory system. This institution, which is a non-profit organisation</w:t>
            </w:r>
            <w:r w:rsidR="009275C8">
              <w:rPr>
                <w:rFonts w:ascii="Arial" w:hAnsi="Arial" w:cs="Arial"/>
                <w:sz w:val="22"/>
                <w:szCs w:val="22"/>
              </w:rPr>
              <w:t xml:space="preserve"> </w:t>
            </w:r>
            <w:r w:rsidRPr="00DF3A8B">
              <w:rPr>
                <w:rFonts w:ascii="Arial" w:hAnsi="Arial" w:cs="Arial"/>
                <w:sz w:val="22"/>
                <w:szCs w:val="22"/>
              </w:rPr>
              <w:t>established in 1995, has the main goal of making sure that the advertisement</w:t>
            </w:r>
            <w:r w:rsidR="009275C8">
              <w:rPr>
                <w:rFonts w:ascii="Arial" w:hAnsi="Arial" w:cs="Arial"/>
                <w:sz w:val="22"/>
                <w:szCs w:val="22"/>
              </w:rPr>
              <w:t>s</w:t>
            </w:r>
            <w:r w:rsidRPr="00DF3A8B">
              <w:rPr>
                <w:rFonts w:ascii="Arial" w:hAnsi="Arial" w:cs="Arial"/>
                <w:sz w:val="22"/>
                <w:szCs w:val="22"/>
              </w:rPr>
              <w:t xml:space="preserve"> shown in the country </w:t>
            </w:r>
            <w:r w:rsidR="009275C8">
              <w:rPr>
                <w:rFonts w:ascii="Arial" w:hAnsi="Arial" w:cs="Arial"/>
                <w:sz w:val="22"/>
                <w:szCs w:val="22"/>
              </w:rPr>
              <w:t>are</w:t>
            </w:r>
            <w:r w:rsidRPr="00DF3A8B">
              <w:rPr>
                <w:rFonts w:ascii="Arial" w:hAnsi="Arial" w:cs="Arial"/>
                <w:sz w:val="22"/>
                <w:szCs w:val="22"/>
              </w:rPr>
              <w:t xml:space="preserve"> truthful, legal, honest, and fair, benefiting consumers, competitors, and the market </w:t>
            </w:r>
            <w:r w:rsidRPr="00DF3A8B">
              <w:rPr>
                <w:rStyle w:val="Hyperlink"/>
                <w:rFonts w:ascii="Arial" w:hAnsi="Arial" w:cs="Arial"/>
                <w:sz w:val="22"/>
                <w:szCs w:val="22"/>
              </w:rPr>
              <w:t>(AUTOCONTROL, 2024a).</w:t>
            </w:r>
            <w:r w:rsidRPr="00DF3A8B">
              <w:rPr>
                <w:rFonts w:ascii="Arial" w:hAnsi="Arial" w:cs="Arial"/>
                <w:sz w:val="22"/>
                <w:szCs w:val="22"/>
              </w:rPr>
              <w:t xml:space="preserve"> </w:t>
            </w:r>
          </w:p>
          <w:p w14:paraId="3D1A308D" w14:textId="77777777" w:rsidR="000F2F0F" w:rsidRPr="000F2F0F" w:rsidRDefault="000F2F0F" w:rsidP="000F2F0F">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30C563DF" w14:textId="3AA3D69C" w:rsidR="00DF3A8B" w:rsidRPr="00DF3A8B" w:rsidRDefault="00D97AF7" w:rsidP="00DF3A8B">
            <w:pPr>
              <w:pStyle w:val="CommentText"/>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F3A8B">
              <w:rPr>
                <w:rFonts w:ascii="Arial" w:hAnsi="Arial" w:cs="Arial"/>
                <w:color w:val="000000" w:themeColor="text1"/>
                <w:sz w:val="22"/>
                <w:szCs w:val="22"/>
              </w:rPr>
              <w:t>Autocontrol is a self-regulatory organisation (SRO). It is composed of the main advertisers, agencies</w:t>
            </w:r>
            <w:r w:rsidR="009275C8">
              <w:rPr>
                <w:rFonts w:ascii="Arial" w:hAnsi="Arial" w:cs="Arial"/>
                <w:color w:val="000000" w:themeColor="text1"/>
                <w:sz w:val="22"/>
                <w:szCs w:val="22"/>
              </w:rPr>
              <w:t>,</w:t>
            </w:r>
            <w:r w:rsidRPr="00DF3A8B">
              <w:rPr>
                <w:rFonts w:ascii="Arial" w:hAnsi="Arial" w:cs="Arial"/>
                <w:color w:val="000000" w:themeColor="text1"/>
                <w:sz w:val="22"/>
                <w:szCs w:val="22"/>
              </w:rPr>
              <w:t xml:space="preserve"> and media (TV, press, outdoor, radio and internet); and the main advertising industry associations. </w:t>
            </w:r>
            <w:r w:rsidRPr="00DF3A8B">
              <w:rPr>
                <w:rFonts w:ascii="Arial" w:hAnsi="Arial" w:cs="Arial"/>
                <w:sz w:val="22"/>
                <w:szCs w:val="22"/>
              </w:rPr>
              <w:t>According to its website, in 2024, Autocontrol has 600 members, including prominent advertisers, advertising agencies, media organisations, and advertising industry associations.</w:t>
            </w:r>
          </w:p>
          <w:p w14:paraId="1F9522E7" w14:textId="77777777" w:rsidR="005C7900" w:rsidRPr="00DF3A8B" w:rsidRDefault="005C7900" w:rsidP="00DF3A8B">
            <w:pPr>
              <w:spacing w:after="160"/>
              <w:cnfStyle w:val="000000100000" w:firstRow="0" w:lastRow="0" w:firstColumn="0" w:lastColumn="0" w:oddVBand="0" w:evenVBand="0" w:oddHBand="1" w:evenHBand="0" w:firstRowFirstColumn="0" w:firstRowLastColumn="0" w:lastRowFirstColumn="0" w:lastRowLastColumn="0"/>
              <w:rPr>
                <w:rFonts w:cs="Arial"/>
                <w:color w:val="000000" w:themeColor="text1"/>
              </w:rPr>
            </w:pPr>
          </w:p>
          <w:p w14:paraId="3768B6EF" w14:textId="77777777" w:rsidR="001D5EDE" w:rsidRPr="00D2598E" w:rsidRDefault="00D97AF7" w:rsidP="000F2F0F">
            <w:pPr>
              <w:spacing w:after="160"/>
              <w:cnfStyle w:val="000000100000" w:firstRow="0" w:lastRow="0" w:firstColumn="0" w:lastColumn="0" w:oddVBand="0" w:evenVBand="0" w:oddHBand="1" w:evenHBand="0" w:firstRowFirstColumn="0" w:firstRowLastColumn="0" w:lastRowFirstColumn="0" w:lastRowLastColumn="0"/>
              <w:rPr>
                <w:color w:val="000000"/>
              </w:rPr>
            </w:pPr>
            <w:r w:rsidRPr="00D2598E">
              <w:rPr>
                <w:color w:val="000000"/>
              </w:rPr>
              <w:t xml:space="preserve">Autocontrol </w:t>
            </w:r>
            <w:r>
              <w:rPr>
                <w:color w:val="000000"/>
              </w:rPr>
              <w:t xml:space="preserve"> (</w:t>
            </w:r>
            <w:hyperlink r:id="rId111" w:history="1">
              <w:r w:rsidRPr="00D2598E">
                <w:rPr>
                  <w:rStyle w:val="Hyperlink"/>
                </w:rPr>
                <w:t>2024a.</w:t>
              </w:r>
            </w:hyperlink>
            <w:r>
              <w:rPr>
                <w:color w:val="000000"/>
              </w:rPr>
              <w:t xml:space="preserve">) </w:t>
            </w:r>
            <w:r w:rsidRPr="00D2598E">
              <w:rPr>
                <w:color w:val="000000"/>
              </w:rPr>
              <w:t xml:space="preserve">manages the advertising self-regulatory system relying on three key instruments: </w:t>
            </w:r>
          </w:p>
          <w:p w14:paraId="473EBF72" w14:textId="77777777" w:rsidR="001D5EDE" w:rsidRPr="00D2598E" w:rsidRDefault="00D97AF7" w:rsidP="000F2F0F">
            <w:pPr>
              <w:numPr>
                <w:ilvl w:val="0"/>
                <w:numId w:val="8"/>
              </w:num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eastAsia="Calibri"/>
                <w:color w:val="000000"/>
              </w:rPr>
            </w:pPr>
            <w:r w:rsidRPr="00D2598E">
              <w:rPr>
                <w:rFonts w:eastAsia="Calibri"/>
                <w:color w:val="000000"/>
              </w:rPr>
              <w:t xml:space="preserve">the Code of Conduct; </w:t>
            </w:r>
          </w:p>
          <w:p w14:paraId="4D436356" w14:textId="3A6CFCEF" w:rsidR="001D5EDE" w:rsidRPr="00D2598E" w:rsidRDefault="00D97AF7" w:rsidP="000F2F0F">
            <w:pPr>
              <w:numPr>
                <w:ilvl w:val="0"/>
                <w:numId w:val="8"/>
              </w:num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eastAsia="Calibri"/>
                <w:color w:val="000000"/>
              </w:rPr>
            </w:pPr>
            <w:r w:rsidRPr="00D2598E">
              <w:rPr>
                <w:rFonts w:eastAsia="Calibri"/>
                <w:color w:val="000000"/>
              </w:rPr>
              <w:t xml:space="preserve">an independent body (Autocontrol’s Advertising Jury) that resolves controversies and complaints; and </w:t>
            </w:r>
          </w:p>
          <w:p w14:paraId="2D46BBCD" w14:textId="1F071A52" w:rsidR="001D5EDE" w:rsidRPr="00D2598E" w:rsidRDefault="00D97AF7" w:rsidP="000F2F0F">
            <w:pPr>
              <w:numPr>
                <w:ilvl w:val="0"/>
                <w:numId w:val="8"/>
              </w:numPr>
              <w:pBdr>
                <w:top w:val="nil"/>
                <w:left w:val="nil"/>
                <w:bottom w:val="nil"/>
                <w:right w:val="nil"/>
                <w:between w:val="nil"/>
              </w:pBdr>
              <w:spacing w:after="160"/>
              <w:cnfStyle w:val="000000100000" w:firstRow="0" w:lastRow="0" w:firstColumn="0" w:lastColumn="0" w:oddVBand="0" w:evenVBand="0" w:oddHBand="1" w:evenHBand="0" w:firstRowFirstColumn="0" w:firstRowLastColumn="0" w:lastRowFirstColumn="0" w:lastRowLastColumn="0"/>
              <w:rPr>
                <w:rFonts w:eastAsia="Calibri"/>
                <w:color w:val="000000"/>
              </w:rPr>
            </w:pPr>
            <w:r w:rsidRPr="00D2598E">
              <w:rPr>
                <w:rFonts w:eastAsia="Calibri"/>
                <w:color w:val="000000"/>
              </w:rPr>
              <w:t>a legal and technical team, composed of experts on law and advertising ethics, in charge of handling legal requests, answering prior consultations</w:t>
            </w:r>
            <w:r w:rsidR="00DF496D">
              <w:rPr>
                <w:rFonts w:eastAsia="Calibri"/>
                <w:color w:val="000000"/>
              </w:rPr>
              <w:t>,</w:t>
            </w:r>
            <w:r w:rsidRPr="00D2598E">
              <w:rPr>
                <w:rFonts w:eastAsia="Calibri"/>
                <w:color w:val="000000"/>
              </w:rPr>
              <w:t xml:space="preserve"> or issuing Copy Advice reports on advertisements or advertising </w:t>
            </w:r>
            <w:r w:rsidRPr="00D2598E">
              <w:rPr>
                <w:rFonts w:eastAsia="Calibri"/>
                <w:color w:val="000000"/>
              </w:rPr>
              <w:lastRenderedPageBreak/>
              <w:t xml:space="preserve">projects; creating reports on legal and ethical issues related to commercial communications. </w:t>
            </w:r>
          </w:p>
          <w:p w14:paraId="0D9F6DFC" w14:textId="77777777" w:rsidR="00DF3A8B" w:rsidRPr="00DF3A8B" w:rsidRDefault="00D97AF7" w:rsidP="000F2F0F">
            <w:pPr>
              <w:spacing w:after="160"/>
              <w:cnfStyle w:val="000000100000" w:firstRow="0" w:lastRow="0" w:firstColumn="0" w:lastColumn="0" w:oddVBand="0" w:evenVBand="0" w:oddHBand="1" w:evenHBand="0" w:firstRowFirstColumn="0" w:firstRowLastColumn="0" w:lastRowFirstColumn="0" w:lastRowLastColumn="0"/>
              <w:rPr>
                <w:color w:val="000000" w:themeColor="text1"/>
              </w:rPr>
            </w:pPr>
            <w:r w:rsidRPr="00DF3A8B">
              <w:rPr>
                <w:color w:val="000000" w:themeColor="text1"/>
              </w:rPr>
              <w:t xml:space="preserve">Autocontrol </w:t>
            </w:r>
            <w:r w:rsidRPr="00DF3A8B">
              <w:rPr>
                <w:color w:val="000000" w:themeColor="text1"/>
                <w:u w:val="single"/>
              </w:rPr>
              <w:t>AUTOCONTROL, 2024a</w:t>
            </w:r>
            <w:r w:rsidRPr="00DF3A8B">
              <w:rPr>
                <w:color w:val="000000" w:themeColor="text1"/>
              </w:rPr>
              <w:t xml:space="preserve"> carries out the following activities as its main work:</w:t>
            </w:r>
          </w:p>
          <w:p w14:paraId="384B0D1A" w14:textId="77777777" w:rsidR="004A0A09" w:rsidRDefault="00D97AF7" w:rsidP="000F2F0F">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color w:val="000000" w:themeColor="text1"/>
              </w:rPr>
            </w:pPr>
            <w:r w:rsidRPr="00723348">
              <w:rPr>
                <w:color w:val="000000" w:themeColor="text1"/>
              </w:rPr>
              <w:t xml:space="preserve">Creating and applying Advertising Codes of Practice: This codes, which apply to general or specific areas of advertisement are voluntarily binding to the industries and companies that commit to them. </w:t>
            </w:r>
          </w:p>
          <w:p w14:paraId="32426CE5" w14:textId="0AFFF141" w:rsidR="00DF3A8B" w:rsidRPr="004A0A09" w:rsidRDefault="00D97AF7" w:rsidP="000F2F0F">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color w:val="000000" w:themeColor="text1"/>
              </w:rPr>
            </w:pPr>
            <w:r w:rsidRPr="004A0A09">
              <w:rPr>
                <w:color w:val="000000" w:themeColor="text1"/>
              </w:rPr>
              <w:t>Out-of-Court Resolution of Complaints</w:t>
            </w:r>
            <w:r w:rsidR="00723348" w:rsidRPr="004A0A09">
              <w:rPr>
                <w:color w:val="000000" w:themeColor="text1"/>
              </w:rPr>
              <w:t xml:space="preserve">. </w:t>
            </w:r>
            <w:r w:rsidRPr="004A0A09">
              <w:rPr>
                <w:color w:val="000000" w:themeColor="text1"/>
              </w:rPr>
              <w:t>Autocontrol’s Jury, which is composed of independent members specialised in various sectors,</w:t>
            </w:r>
            <w:r w:rsidR="00723348" w:rsidRPr="004A0A09">
              <w:rPr>
                <w:color w:val="000000" w:themeColor="text1"/>
              </w:rPr>
              <w:t xml:space="preserve"> adjudicates on complaints which may be brought by </w:t>
            </w:r>
            <w:r w:rsidRPr="004A0A09">
              <w:rPr>
                <w:color w:val="000000" w:themeColor="text1"/>
              </w:rPr>
              <w:t xml:space="preserve">Autocontrol </w:t>
            </w:r>
            <w:r w:rsidR="00723348" w:rsidRPr="004A0A09">
              <w:rPr>
                <w:color w:val="000000" w:themeColor="text1"/>
              </w:rPr>
              <w:t xml:space="preserve">itself, </w:t>
            </w:r>
            <w:r w:rsidRPr="004A0A09">
              <w:rPr>
                <w:color w:val="000000" w:themeColor="text1"/>
              </w:rPr>
              <w:t xml:space="preserve">or any individual or entity with a legal interest. </w:t>
            </w:r>
            <w:r w:rsidR="00723348" w:rsidRPr="004A0A09">
              <w:rPr>
                <w:color w:val="000000" w:themeColor="text1"/>
              </w:rPr>
              <w:t>Autocontrol deals with complaints about code breaches made by individual consumers, rival marketers</w:t>
            </w:r>
            <w:r w:rsidR="00DF496D">
              <w:rPr>
                <w:color w:val="000000" w:themeColor="text1"/>
              </w:rPr>
              <w:t>,</w:t>
            </w:r>
            <w:r w:rsidR="00723348" w:rsidRPr="004A0A09">
              <w:rPr>
                <w:color w:val="000000" w:themeColor="text1"/>
              </w:rPr>
              <w:t xml:space="preserve"> or other entities. </w:t>
            </w:r>
            <w:r w:rsidRPr="004A0A09">
              <w:rPr>
                <w:color w:val="000000" w:themeColor="text1"/>
              </w:rPr>
              <w:t>The complaints must be about advertising material which is conside</w:t>
            </w:r>
            <w:r w:rsidR="00723348" w:rsidRPr="004A0A09">
              <w:rPr>
                <w:color w:val="000000" w:themeColor="text1"/>
              </w:rPr>
              <w:t>red</w:t>
            </w:r>
            <w:r w:rsidRPr="004A0A09">
              <w:rPr>
                <w:color w:val="000000" w:themeColor="text1"/>
              </w:rPr>
              <w:t xml:space="preserve"> to have broken Autocontrol codes or active legislation. The Jury´s resolution are bi</w:t>
            </w:r>
            <w:r w:rsidR="00723348" w:rsidRPr="004A0A09">
              <w:rPr>
                <w:color w:val="000000" w:themeColor="text1"/>
              </w:rPr>
              <w:t>n</w:t>
            </w:r>
            <w:r w:rsidRPr="004A0A09">
              <w:rPr>
                <w:color w:val="000000" w:themeColor="text1"/>
              </w:rPr>
              <w:t>ding for all the members of this institution</w:t>
            </w:r>
            <w:r w:rsidR="00723348" w:rsidRPr="004A0A09">
              <w:rPr>
                <w:color w:val="000000" w:themeColor="text1"/>
              </w:rPr>
              <w:t>,</w:t>
            </w:r>
            <w:r w:rsidRPr="004A0A09">
              <w:rPr>
                <w:color w:val="000000" w:themeColor="text1"/>
              </w:rPr>
              <w:t xml:space="preserve"> and non-members who accept the Jury´s jurisdiction. </w:t>
            </w:r>
            <w:r w:rsidR="00723348" w:rsidRPr="004A0A09">
              <w:rPr>
                <w:color w:val="000000" w:themeColor="text1"/>
              </w:rPr>
              <w:t>Among the claims services</w:t>
            </w:r>
            <w:r w:rsidR="00BB6D51">
              <w:rPr>
                <w:color w:val="000000" w:themeColor="text1"/>
              </w:rPr>
              <w:t>,</w:t>
            </w:r>
            <w:r w:rsidR="00723348" w:rsidRPr="004A0A09">
              <w:rPr>
                <w:color w:val="000000" w:themeColor="text1"/>
              </w:rPr>
              <w:t xml:space="preserve"> there is also a service for resolving cross-border advertisement claims. </w:t>
            </w:r>
          </w:p>
          <w:p w14:paraId="39586DDA" w14:textId="173F544C" w:rsidR="00723348" w:rsidRDefault="00D97AF7" w:rsidP="00065FC3">
            <w:pPr>
              <w:numPr>
                <w:ilvl w:val="0"/>
                <w:numId w:val="20"/>
              </w:numPr>
              <w:spacing w:after="160"/>
              <w:cnfStyle w:val="000000100000" w:firstRow="0" w:lastRow="0" w:firstColumn="0" w:lastColumn="0" w:oddVBand="0" w:evenVBand="0" w:oddHBand="1" w:evenHBand="0" w:firstRowFirstColumn="0" w:firstRowLastColumn="0" w:lastRowFirstColumn="0" w:lastRowLastColumn="0"/>
              <w:rPr>
                <w:color w:val="000000" w:themeColor="text1"/>
              </w:rPr>
            </w:pPr>
            <w:r w:rsidRPr="00DF3A8B">
              <w:rPr>
                <w:color w:val="000000" w:themeColor="text1"/>
              </w:rPr>
              <w:t>Lastly, Provision of Pre-Launch Advice: Autocontrol’s Technical Department provides non-binding opinions on the legality or faultlessness of an advertisement when this evaluation is required by the advertiser, the agency or the channel through where is said ad going to be disseminated from.</w:t>
            </w:r>
            <w:r>
              <w:rPr>
                <w:color w:val="000000" w:themeColor="text1"/>
              </w:rPr>
              <w:t xml:space="preserve"> </w:t>
            </w:r>
            <w:r w:rsidR="001D5EDE" w:rsidRPr="00723348">
              <w:rPr>
                <w:color w:val="000000" w:themeColor="text1"/>
              </w:rPr>
              <w:t xml:space="preserve">Autocontrol </w:t>
            </w:r>
            <w:hyperlink r:id="rId112" w:history="1">
              <w:r w:rsidR="001D5EDE" w:rsidRPr="5C99EEFA">
                <w:rPr>
                  <w:rStyle w:val="Hyperlink"/>
                </w:rPr>
                <w:t>(2024b.)</w:t>
              </w:r>
            </w:hyperlink>
            <w:r w:rsidR="001D5EDE" w:rsidRPr="00723348">
              <w:rPr>
                <w:color w:val="000000" w:themeColor="text1"/>
              </w:rPr>
              <w:t xml:space="preserve"> offers advice before </w:t>
            </w:r>
            <w:r w:rsidR="00BB6D51">
              <w:rPr>
                <w:color w:val="000000" w:themeColor="text1"/>
              </w:rPr>
              <w:t>disseminating advertisements,</w:t>
            </w:r>
            <w:r w:rsidR="001D5EDE" w:rsidRPr="00723348">
              <w:rPr>
                <w:color w:val="000000" w:themeColor="text1"/>
              </w:rPr>
              <w:t xml:space="preserve"> such as copy advice, ethical consultations</w:t>
            </w:r>
            <w:r w:rsidR="00BB6D51">
              <w:rPr>
                <w:color w:val="000000" w:themeColor="text1"/>
              </w:rPr>
              <w:t>,</w:t>
            </w:r>
            <w:r w:rsidR="001D5EDE" w:rsidRPr="00723348">
              <w:rPr>
                <w:color w:val="000000" w:themeColor="text1"/>
              </w:rPr>
              <w:t xml:space="preserve"> and consultations regarding advertisements campaigns or web. Autocontrol also provides mediation services relating to data management</w:t>
            </w:r>
            <w:r w:rsidR="00BB6D51">
              <w:rPr>
                <w:color w:val="000000" w:themeColor="text1"/>
              </w:rPr>
              <w:t>,</w:t>
            </w:r>
            <w:r w:rsidR="001D5EDE" w:rsidRPr="00723348">
              <w:rPr>
                <w:color w:val="000000" w:themeColor="text1"/>
              </w:rPr>
              <w:t xml:space="preserve"> including cookie advice and data protection guidance. </w:t>
            </w:r>
          </w:p>
          <w:p w14:paraId="107B03D0" w14:textId="338E19A0" w:rsidR="001D5EDE" w:rsidRDefault="00D97AF7" w:rsidP="00723348">
            <w:pPr>
              <w:cnfStyle w:val="000000100000" w:firstRow="0" w:lastRow="0" w:firstColumn="0" w:lastColumn="0" w:oddVBand="0" w:evenVBand="0" w:oddHBand="1" w:evenHBand="0" w:firstRowFirstColumn="0" w:firstRowLastColumn="0" w:lastRowFirstColumn="0" w:lastRowLastColumn="0"/>
            </w:pPr>
            <w:r w:rsidRPr="00723348">
              <w:rPr>
                <w:color w:val="000000" w:themeColor="text1"/>
              </w:rPr>
              <w:t>Regarding data protection, Autocontrol offers services of telecommunication data protection as well as having a system to process data protection claims. In addition to this, regarding Internet</w:t>
            </w:r>
            <w:r w:rsidR="00BB6D51">
              <w:rPr>
                <w:color w:val="000000" w:themeColor="text1"/>
              </w:rPr>
              <w:t>-</w:t>
            </w:r>
            <w:r w:rsidRPr="00723348">
              <w:rPr>
                <w:color w:val="000000" w:themeColor="text1"/>
              </w:rPr>
              <w:t>related issues</w:t>
            </w:r>
            <w:r w:rsidR="00BB6D51">
              <w:rPr>
                <w:color w:val="000000" w:themeColor="text1"/>
              </w:rPr>
              <w:t>,</w:t>
            </w:r>
            <w:r w:rsidRPr="00723348">
              <w:rPr>
                <w:color w:val="000000" w:themeColor="text1"/>
              </w:rPr>
              <w:t xml:space="preserve"> there is a service to retrieve the .es website domain. </w:t>
            </w:r>
            <w:r w:rsidR="00723348" w:rsidRPr="00B023D0">
              <w:t>Autocontrol (2024b) offers the issuance of Social Corporate certificates to its partners who publish ethically correct advertising on websites, as well as the periodic monitoring of commercial communications</w:t>
            </w:r>
          </w:p>
          <w:p w14:paraId="5A4DFE34" w14:textId="77777777" w:rsidR="00723348" w:rsidRPr="00723348" w:rsidRDefault="00723348" w:rsidP="00723348">
            <w:pPr>
              <w:cnfStyle w:val="000000100000" w:firstRow="0" w:lastRow="0" w:firstColumn="0" w:lastColumn="0" w:oddVBand="0" w:evenVBand="0" w:oddHBand="1" w:evenHBand="0" w:firstRowFirstColumn="0" w:firstRowLastColumn="0" w:lastRowFirstColumn="0" w:lastRowLastColumn="0"/>
            </w:pPr>
          </w:p>
          <w:p w14:paraId="7D1E0134" w14:textId="79A4C314" w:rsidR="00D913B0" w:rsidRDefault="00D97AF7" w:rsidP="00065FC3">
            <w:pPr>
              <w:spacing w:after="160"/>
              <w:cnfStyle w:val="000000100000" w:firstRow="0" w:lastRow="0" w:firstColumn="0" w:lastColumn="0" w:oddVBand="0" w:evenVBand="0" w:oddHBand="1" w:evenHBand="0" w:firstRowFirstColumn="0" w:firstRowLastColumn="0" w:lastRowFirstColumn="0" w:lastRowLastColumn="0"/>
            </w:pPr>
            <w:r w:rsidRPr="00C36800">
              <w:t xml:space="preserve">Autocontrol </w:t>
            </w:r>
            <w:hyperlink r:id="rId113" w:history="1">
              <w:r w:rsidRPr="00C36800">
                <w:rPr>
                  <w:rStyle w:val="Hyperlink"/>
                </w:rPr>
                <w:t>(2024c.)</w:t>
              </w:r>
            </w:hyperlink>
            <w:r w:rsidRPr="00C36800">
              <w:t xml:space="preserve"> has also created an association </w:t>
            </w:r>
            <w:r w:rsidR="00BB6D51">
              <w:t>called</w:t>
            </w:r>
            <w:r w:rsidRPr="00C36800">
              <w:t>Sello de Confianza Online to guarantee users</w:t>
            </w:r>
            <w:r w:rsidR="00A3709F">
              <w:t>’</w:t>
            </w:r>
            <w:r w:rsidRPr="00C36800">
              <w:t xml:space="preserve"> security when they are buying or using the Internet. The adjudications made by Autocontrol’s Jury are made </w:t>
            </w:r>
            <w:r w:rsidRPr="00C36800">
              <w:lastRenderedPageBreak/>
              <w:t>available online in a searchable archive (Autocontrol 2024d).</w:t>
            </w:r>
          </w:p>
          <w:p w14:paraId="032132D0" w14:textId="77777777" w:rsidR="00D913B0" w:rsidRPr="00D913B0" w:rsidRDefault="00D97AF7" w:rsidP="00065FC3">
            <w:pPr>
              <w:spacing w:after="160"/>
              <w:cnfStyle w:val="000000100000" w:firstRow="0" w:lastRow="0" w:firstColumn="0" w:lastColumn="0" w:oddVBand="0" w:evenVBand="0" w:oddHBand="1" w:evenHBand="0" w:firstRowFirstColumn="0" w:firstRowLastColumn="0" w:lastRowFirstColumn="0" w:lastRowLastColumn="0"/>
              <w:rPr>
                <w:b/>
                <w:bCs/>
                <w:color w:val="000000"/>
              </w:rPr>
            </w:pPr>
            <w:r w:rsidRPr="00D913B0">
              <w:rPr>
                <w:b/>
                <w:bCs/>
                <w:color w:val="000000"/>
              </w:rPr>
              <w:t>Self-regulation and the Courts</w:t>
            </w:r>
          </w:p>
          <w:p w14:paraId="2BA7000C" w14:textId="77777777" w:rsidR="00955813" w:rsidRPr="0016559B" w:rsidRDefault="00D97AF7" w:rsidP="00D913B0">
            <w:pPr>
              <w:spacing w:after="160"/>
              <w:cnfStyle w:val="000000100000" w:firstRow="0" w:lastRow="0" w:firstColumn="0" w:lastColumn="0" w:oddVBand="0" w:evenVBand="0" w:oddHBand="1" w:evenHBand="0" w:firstRowFirstColumn="0" w:firstRowLastColumn="0" w:lastRowFirstColumn="0" w:lastRowLastColumn="0"/>
              <w:rPr>
                <w:rFonts w:cs="Arial"/>
              </w:rPr>
            </w:pPr>
            <w:r w:rsidRPr="00D913B0">
              <w:rPr>
                <w:rFonts w:cs="Arial"/>
                <w:color w:val="000000"/>
              </w:rPr>
              <w:t xml:space="preserve">The civil courts generally adhere to </w:t>
            </w:r>
            <w:r>
              <w:rPr>
                <w:rFonts w:cs="Arial"/>
                <w:color w:val="000000"/>
              </w:rPr>
              <w:t>the decisions made by Autocontrol’s Jury</w:t>
            </w:r>
            <w:r w:rsidRPr="00D913B0">
              <w:rPr>
                <w:rFonts w:cs="Arial"/>
                <w:color w:val="000000"/>
              </w:rPr>
              <w:t xml:space="preserve">. </w:t>
            </w:r>
            <w:r w:rsidRPr="00D913B0">
              <w:rPr>
                <w:rFonts w:cs="Arial"/>
              </w:rPr>
              <w:t xml:space="preserve">Furthermore, the </w:t>
            </w:r>
            <w:r w:rsidRPr="00D913B0">
              <w:rPr>
                <w:rFonts w:cs="Arial"/>
                <w:iCs/>
              </w:rPr>
              <w:t xml:space="preserve">Unfair Competition Law </w:t>
            </w:r>
            <w:r w:rsidRPr="00D913B0">
              <w:rPr>
                <w:rFonts w:cs="Arial"/>
              </w:rPr>
              <w:t>[Ley 3/1991, de 10 de enero, de Competencia Desleal] [</w:t>
            </w:r>
            <w:hyperlink r:id="rId114" w:history="1">
              <w:r w:rsidRPr="00D913B0">
                <w:rPr>
                  <w:rStyle w:val="Hyperlink"/>
                  <w:rFonts w:cs="Arial"/>
                </w:rPr>
                <w:t>BOE, 1991</w:t>
              </w:r>
            </w:hyperlink>
            <w:r w:rsidRPr="00D913B0">
              <w:rPr>
                <w:rFonts w:cs="Arial"/>
              </w:rPr>
              <w:t>)</w:t>
            </w:r>
            <w:r w:rsidRPr="00D913B0">
              <w:rPr>
                <w:rFonts w:cs="Arial"/>
                <w:i/>
              </w:rPr>
              <w:t xml:space="preserve"> </w:t>
            </w:r>
            <w:r w:rsidRPr="00D913B0">
              <w:rPr>
                <w:rFonts w:cs="Arial"/>
              </w:rPr>
              <w:t>contains an article (37) dedicated to "Codes of Practice", which aims to encourage their development, recognise them, and clarify the conditions with which they must comply. There is also a section that regulates misleading practices regarding codes of practice, such as: claiming to observe a code of conduct where this is not the case; or claiming that a given code of conduct has been endorsed by a public organisation or any other accreditation when it has not.</w:t>
            </w:r>
          </w:p>
        </w:tc>
      </w:tr>
      <w:tr w:rsidR="000F492D" w14:paraId="45BE34E7"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2D1B7BDA" w14:textId="77777777" w:rsidR="00955813" w:rsidRPr="00203503" w:rsidRDefault="00D97AF7" w:rsidP="00F92CC7">
            <w:pPr>
              <w:spacing w:line="276" w:lineRule="auto"/>
              <w:rPr>
                <w:rFonts w:cs="Arial"/>
                <w:color w:val="3A3A3A" w:themeColor="background2" w:themeShade="40"/>
              </w:rPr>
            </w:pPr>
            <w:r>
              <w:rPr>
                <w:rFonts w:cs="Arial"/>
                <w:color w:val="747474" w:themeColor="background2" w:themeShade="80"/>
              </w:rPr>
              <w:lastRenderedPageBreak/>
              <w:t>5.2</w:t>
            </w:r>
          </w:p>
        </w:tc>
        <w:tc>
          <w:tcPr>
            <w:tcW w:w="2192" w:type="dxa"/>
          </w:tcPr>
          <w:p w14:paraId="126B18C3" w14:textId="77777777" w:rsidR="00955813"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DC061D">
              <w:t>What year was the SRO created?</w:t>
            </w:r>
          </w:p>
        </w:tc>
        <w:tc>
          <w:tcPr>
            <w:tcW w:w="2119" w:type="dxa"/>
          </w:tcPr>
          <w:p w14:paraId="31A1BE04" w14:textId="77777777" w:rsidR="00955813" w:rsidRDefault="00D97AF7" w:rsidP="00F92CC7">
            <w:pPr>
              <w:pStyle w:val="Classificationcolumntext"/>
              <w:cnfStyle w:val="000000000000" w:firstRow="0" w:lastRow="0" w:firstColumn="0" w:lastColumn="0" w:oddVBand="0" w:evenVBand="0" w:oddHBand="0" w:evenHBand="0" w:firstRowFirstColumn="0" w:firstRowLastColumn="0" w:lastRowFirstColumn="0" w:lastRowLastColumn="0"/>
            </w:pPr>
            <w:r>
              <w:t>1995 [</w:t>
            </w:r>
            <w:r w:rsidR="001B31C7">
              <w:t>1</w:t>
            </w:r>
            <w:r w:rsidR="003A6117">
              <w:t>977</w:t>
            </w:r>
            <w:r w:rsidR="00431B73">
              <w:t>]</w:t>
            </w:r>
          </w:p>
        </w:tc>
        <w:tc>
          <w:tcPr>
            <w:tcW w:w="5616" w:type="dxa"/>
          </w:tcPr>
          <w:p w14:paraId="25037CBE" w14:textId="77777777" w:rsidR="001B31C7" w:rsidRPr="00FA6BE1" w:rsidRDefault="00D97AF7" w:rsidP="00FA6BE1">
            <w:pPr>
              <w:cnfStyle w:val="000000000000" w:firstRow="0" w:lastRow="0" w:firstColumn="0" w:lastColumn="0" w:oddVBand="0" w:evenVBand="0" w:oddHBand="0" w:evenHBand="0" w:firstRowFirstColumn="0" w:firstRowLastColumn="0" w:lastRowFirstColumn="0" w:lastRowLastColumn="0"/>
              <w:rPr>
                <w:rFonts w:cs="Arial"/>
                <w:color w:val="000000" w:themeColor="text1"/>
              </w:rPr>
            </w:pPr>
            <w:r w:rsidRPr="00FA6BE1">
              <w:rPr>
                <w:rFonts w:cs="Arial"/>
                <w:b/>
                <w:color w:val="000000" w:themeColor="text1"/>
              </w:rPr>
              <w:t>Autocontrol de la Publicidad S.A.</w:t>
            </w:r>
            <w:r w:rsidRPr="00FA6BE1">
              <w:rPr>
                <w:rFonts w:cs="Arial"/>
                <w:color w:val="000000" w:themeColor="text1"/>
              </w:rPr>
              <w:t xml:space="preserve">, was founded in 1977, and later transformed into </w:t>
            </w:r>
            <w:r w:rsidRPr="00FA6BE1">
              <w:rPr>
                <w:rFonts w:cs="Arial"/>
                <w:b/>
                <w:color w:val="000000" w:themeColor="text1"/>
              </w:rPr>
              <w:t>Autocontrol de la Publicidad S.L.</w:t>
            </w:r>
            <w:r w:rsidRPr="00FA6BE1">
              <w:rPr>
                <w:rFonts w:cs="Arial"/>
                <w:color w:val="000000" w:themeColor="text1"/>
              </w:rPr>
              <w:t xml:space="preserve"> in 1993. This entity agreed to dissolve in 1995 when it was </w:t>
            </w:r>
            <w:r w:rsidR="003578BB" w:rsidRPr="00FA6BE1">
              <w:rPr>
                <w:rFonts w:cs="Arial"/>
                <w:color w:val="000000" w:themeColor="text1"/>
              </w:rPr>
              <w:t>relaunched as Autocontrol (</w:t>
            </w:r>
            <w:r w:rsidRPr="00FA6BE1">
              <w:rPr>
                <w:rFonts w:cs="Arial"/>
                <w:color w:val="000000" w:themeColor="text1"/>
              </w:rPr>
              <w:t>Lema Devesa 2018).</w:t>
            </w:r>
          </w:p>
          <w:p w14:paraId="11D53DF9" w14:textId="77777777" w:rsidR="00955813" w:rsidRPr="00FA6BE1" w:rsidRDefault="00955813" w:rsidP="00FA6BE1">
            <w:pPr>
              <w:cnfStyle w:val="000000000000" w:firstRow="0" w:lastRow="0" w:firstColumn="0" w:lastColumn="0" w:oddVBand="0" w:evenVBand="0" w:oddHBand="0" w:evenHBand="0" w:firstRowFirstColumn="0" w:firstRowLastColumn="0" w:lastRowFirstColumn="0" w:lastRowLastColumn="0"/>
              <w:rPr>
                <w:rFonts w:cs="Arial"/>
              </w:rPr>
            </w:pPr>
          </w:p>
          <w:p w14:paraId="3CB72EBB" w14:textId="77777777" w:rsidR="00FA6BE1" w:rsidRPr="00FA6BE1" w:rsidRDefault="00FA6BE1" w:rsidP="00FA6BE1">
            <w:pPr>
              <w:cnfStyle w:val="000000000000" w:firstRow="0" w:lastRow="0" w:firstColumn="0" w:lastColumn="0" w:oddVBand="0" w:evenVBand="0" w:oddHBand="0" w:evenHBand="0" w:firstRowFirstColumn="0" w:firstRowLastColumn="0" w:lastRowFirstColumn="0" w:lastRowLastColumn="0"/>
              <w:rPr>
                <w:rFonts w:cs="Arial"/>
              </w:rPr>
            </w:pPr>
          </w:p>
          <w:p w14:paraId="5A889B64" w14:textId="77777777" w:rsidR="00FA6BE1" w:rsidRPr="00FA6BE1" w:rsidRDefault="00D97AF7" w:rsidP="00FA6BE1">
            <w:pPr>
              <w:cnfStyle w:val="000000000000" w:firstRow="0" w:lastRow="0" w:firstColumn="0" w:lastColumn="0" w:oddVBand="0" w:evenVBand="0" w:oddHBand="0" w:evenHBand="0" w:firstRowFirstColumn="0" w:firstRowLastColumn="0" w:lastRowFirstColumn="0" w:lastRowLastColumn="0"/>
              <w:rPr>
                <w:rFonts w:cs="Arial"/>
              </w:rPr>
            </w:pPr>
            <w:r w:rsidRPr="00FA6BE1">
              <w:rPr>
                <w:rFonts w:cs="Arial"/>
              </w:rPr>
              <w:t>An advertising self-regulation body was first formed in Spain</w:t>
            </w:r>
            <w:r>
              <w:rPr>
                <w:rFonts w:cs="Arial"/>
              </w:rPr>
              <w:t xml:space="preserve"> </w:t>
            </w:r>
            <w:r w:rsidRPr="00FA6BE1">
              <w:rPr>
                <w:rFonts w:cs="Arial"/>
              </w:rPr>
              <w:t xml:space="preserve">in 1977, but it had a small impact on the industry. Its role increased </w:t>
            </w:r>
            <w:r>
              <w:rPr>
                <w:rFonts w:cs="Arial"/>
              </w:rPr>
              <w:t xml:space="preserve">after it was relaunched as Autocontrol (AC) in </w:t>
            </w:r>
            <w:r w:rsidRPr="00FA6BE1">
              <w:rPr>
                <w:rFonts w:cs="Arial"/>
              </w:rPr>
              <w:t>199</w:t>
            </w:r>
            <w:r w:rsidRPr="00FA6BE1">
              <w:rPr>
                <w:rFonts w:cs="Arial"/>
                <w:color w:val="000000" w:themeColor="text1"/>
              </w:rPr>
              <w:t>5</w:t>
            </w:r>
            <w:r>
              <w:rPr>
                <w:rFonts w:cs="Arial"/>
              </w:rPr>
              <w:t xml:space="preserve">. </w:t>
            </w:r>
            <w:r w:rsidRPr="00FA6BE1">
              <w:rPr>
                <w:rFonts w:cs="Arial"/>
              </w:rPr>
              <w:t>In 2000, the body was again renam</w:t>
            </w:r>
            <w:r>
              <w:rPr>
                <w:rFonts w:cs="Arial"/>
              </w:rPr>
              <w:t xml:space="preserve">ed , while continuing to be referred to as Autocontrol, </w:t>
            </w:r>
            <w:r w:rsidRPr="00FA6BE1">
              <w:rPr>
                <w:rFonts w:cs="Arial"/>
              </w:rPr>
              <w:t>becoming the Asociación de AUTOCONTROL de la Comunicación Comercial or AACC (the Spanish Self-Regulatory Association for Commercial Communications</w:t>
            </w:r>
            <w:r>
              <w:rPr>
                <w:rFonts w:cs="Arial"/>
              </w:rPr>
              <w:t xml:space="preserve">). The AACC </w:t>
            </w:r>
            <w:r w:rsidRPr="00FA6BE1">
              <w:rPr>
                <w:rFonts w:cs="Arial"/>
              </w:rPr>
              <w:t>assumed a broader commercial scope, including fields such as e-commerce, Internet domains, promotional material, labelling, and packaging</w:t>
            </w:r>
            <w:r>
              <w:rPr>
                <w:rFonts w:cs="Arial"/>
              </w:rPr>
              <w:t>.</w:t>
            </w:r>
          </w:p>
        </w:tc>
      </w:tr>
      <w:tr w:rsidR="000F492D" w14:paraId="23CCDFAB"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2D005923" w14:textId="77777777" w:rsidR="00955813" w:rsidRPr="00203503" w:rsidRDefault="00D97AF7" w:rsidP="00F92CC7">
            <w:pPr>
              <w:spacing w:line="276" w:lineRule="auto"/>
              <w:rPr>
                <w:rFonts w:cs="Arial"/>
                <w:color w:val="747474" w:themeColor="background2" w:themeShade="80"/>
              </w:rPr>
            </w:pPr>
            <w:r>
              <w:rPr>
                <w:rFonts w:cs="Arial"/>
                <w:color w:val="747474" w:themeColor="background2" w:themeShade="80"/>
              </w:rPr>
              <w:t>5.3</w:t>
            </w:r>
          </w:p>
        </w:tc>
        <w:tc>
          <w:tcPr>
            <w:tcW w:w="2192" w:type="dxa"/>
            <w:tcBorders>
              <w:top w:val="none" w:sz="0" w:space="0" w:color="auto"/>
              <w:bottom w:val="none" w:sz="0" w:space="0" w:color="auto"/>
            </w:tcBorders>
          </w:tcPr>
          <w:p w14:paraId="016857AE" w14:textId="77777777" w:rsidR="00955813"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DE0225">
              <w:t>No. of staff at SRO</w:t>
            </w:r>
            <w:r w:rsidR="00E120CC">
              <w:t>?</w:t>
            </w:r>
            <w:r w:rsidRPr="00DE0225">
              <w:t xml:space="preserve"> </w:t>
            </w:r>
            <w:r w:rsidR="005E4546" w:rsidRPr="005E4546">
              <w:rPr>
                <w:b w:val="0"/>
                <w:bCs w:val="0"/>
              </w:rPr>
              <w:t>(</w:t>
            </w:r>
            <w:r w:rsidRPr="005E4546">
              <w:rPr>
                <w:b w:val="0"/>
                <w:bCs w:val="0"/>
              </w:rPr>
              <w:t>year</w:t>
            </w:r>
            <w:r w:rsidR="005E4546" w:rsidRPr="005E4546">
              <w:rPr>
                <w:b w:val="0"/>
                <w:bCs w:val="0"/>
              </w:rPr>
              <w:t>)</w:t>
            </w:r>
          </w:p>
        </w:tc>
        <w:tc>
          <w:tcPr>
            <w:tcW w:w="2119" w:type="dxa"/>
            <w:tcBorders>
              <w:top w:val="none" w:sz="0" w:space="0" w:color="auto"/>
              <w:bottom w:val="none" w:sz="0" w:space="0" w:color="auto"/>
            </w:tcBorders>
          </w:tcPr>
          <w:p w14:paraId="1AF85806" w14:textId="77777777" w:rsidR="00955813" w:rsidRDefault="00955813"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Borders>
              <w:top w:val="none" w:sz="0" w:space="0" w:color="auto"/>
              <w:bottom w:val="none" w:sz="0" w:space="0" w:color="auto"/>
            </w:tcBorders>
          </w:tcPr>
          <w:p w14:paraId="44559F4B" w14:textId="77777777" w:rsidR="00955813" w:rsidRPr="0016559B" w:rsidRDefault="00955813" w:rsidP="00AE5884">
            <w:pPr>
              <w:cnfStyle w:val="000000100000" w:firstRow="0" w:lastRow="0" w:firstColumn="0" w:lastColumn="0" w:oddVBand="0" w:evenVBand="0" w:oddHBand="1" w:evenHBand="0" w:firstRowFirstColumn="0" w:firstRowLastColumn="0" w:lastRowFirstColumn="0" w:lastRowLastColumn="0"/>
              <w:rPr>
                <w:rFonts w:cs="Arial"/>
              </w:rPr>
            </w:pPr>
          </w:p>
        </w:tc>
      </w:tr>
      <w:tr w:rsidR="000F492D" w14:paraId="51901037"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5AD75FF" w14:textId="77777777" w:rsidR="00955813" w:rsidRPr="00203503" w:rsidRDefault="00D97AF7" w:rsidP="00F92CC7">
            <w:pPr>
              <w:spacing w:line="276" w:lineRule="auto"/>
              <w:rPr>
                <w:rFonts w:cs="Arial"/>
                <w:color w:val="747474" w:themeColor="background2" w:themeShade="80"/>
              </w:rPr>
            </w:pPr>
            <w:r>
              <w:rPr>
                <w:rFonts w:cs="Arial"/>
                <w:color w:val="747474" w:themeColor="background2" w:themeShade="80"/>
              </w:rPr>
              <w:t>5.4</w:t>
            </w:r>
          </w:p>
        </w:tc>
        <w:tc>
          <w:tcPr>
            <w:tcW w:w="2192" w:type="dxa"/>
          </w:tcPr>
          <w:p w14:paraId="6A946710" w14:textId="77777777" w:rsidR="00955813"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FB05E9">
              <w:t xml:space="preserve">SRO Annual Budget? </w:t>
            </w:r>
            <w:r w:rsidR="005E4546" w:rsidRPr="005E4546">
              <w:rPr>
                <w:b w:val="0"/>
                <w:bCs w:val="0"/>
              </w:rPr>
              <w:t>(year)</w:t>
            </w:r>
          </w:p>
        </w:tc>
        <w:tc>
          <w:tcPr>
            <w:tcW w:w="2119" w:type="dxa"/>
          </w:tcPr>
          <w:p w14:paraId="5A42D030" w14:textId="77777777" w:rsidR="00955813" w:rsidRDefault="00955813"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5039B98C" w14:textId="77777777" w:rsidR="00955813" w:rsidRPr="0016559B" w:rsidRDefault="00955813" w:rsidP="00AE5884">
            <w:pPr>
              <w:cnfStyle w:val="000000000000" w:firstRow="0" w:lastRow="0" w:firstColumn="0" w:lastColumn="0" w:oddVBand="0" w:evenVBand="0" w:oddHBand="0" w:evenHBand="0" w:firstRowFirstColumn="0" w:firstRowLastColumn="0" w:lastRowFirstColumn="0" w:lastRowLastColumn="0"/>
              <w:rPr>
                <w:rFonts w:cs="Arial"/>
              </w:rPr>
            </w:pPr>
          </w:p>
        </w:tc>
      </w:tr>
      <w:tr w:rsidR="000F492D" w14:paraId="631CBC66"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1ECAFE73" w14:textId="77777777" w:rsidR="000C4FBB" w:rsidRPr="00203503" w:rsidRDefault="00D97AF7" w:rsidP="000C4FBB">
            <w:pPr>
              <w:spacing w:line="276" w:lineRule="auto"/>
              <w:rPr>
                <w:rFonts w:cs="Arial"/>
                <w:color w:val="747474" w:themeColor="background2" w:themeShade="80"/>
              </w:rPr>
            </w:pPr>
            <w:r>
              <w:rPr>
                <w:rFonts w:cs="Arial"/>
                <w:color w:val="747474" w:themeColor="background2" w:themeShade="80"/>
              </w:rPr>
              <w:t>5.5</w:t>
            </w:r>
          </w:p>
        </w:tc>
        <w:tc>
          <w:tcPr>
            <w:tcW w:w="2192" w:type="dxa"/>
            <w:tcBorders>
              <w:top w:val="none" w:sz="0" w:space="0" w:color="auto"/>
              <w:bottom w:val="none" w:sz="0" w:space="0" w:color="auto"/>
            </w:tcBorders>
          </w:tcPr>
          <w:p w14:paraId="6C904DE7" w14:textId="77777777" w:rsidR="000C4FBB" w:rsidRDefault="00D97AF7" w:rsidP="000C4FBB">
            <w:pPr>
              <w:pStyle w:val="Subjectcolumntext"/>
              <w:cnfStyle w:val="000000100000" w:firstRow="0" w:lastRow="0" w:firstColumn="0" w:lastColumn="0" w:oddVBand="0" w:evenVBand="0" w:oddHBand="1" w:evenHBand="0" w:firstRowFirstColumn="0" w:firstRowLastColumn="0" w:lastRowFirstColumn="0" w:lastRowLastColumn="0"/>
            </w:pPr>
            <w:r w:rsidRPr="006F0366">
              <w:t xml:space="preserve">How is SRO financed? </w:t>
            </w:r>
            <w:r w:rsidRPr="005E4546">
              <w:rPr>
                <w:b w:val="0"/>
                <w:bCs w:val="0"/>
              </w:rPr>
              <w:t>(year)</w:t>
            </w:r>
          </w:p>
        </w:tc>
        <w:tc>
          <w:tcPr>
            <w:tcW w:w="2119" w:type="dxa"/>
            <w:tcBorders>
              <w:top w:val="none" w:sz="0" w:space="0" w:color="auto"/>
              <w:bottom w:val="none" w:sz="0" w:space="0" w:color="auto"/>
            </w:tcBorders>
          </w:tcPr>
          <w:p w14:paraId="770985BC" w14:textId="77777777" w:rsidR="000C4FBB" w:rsidRDefault="000C4FBB" w:rsidP="000C4FB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Borders>
              <w:top w:val="none" w:sz="0" w:space="0" w:color="auto"/>
              <w:bottom w:val="none" w:sz="0" w:space="0" w:color="auto"/>
            </w:tcBorders>
          </w:tcPr>
          <w:p w14:paraId="435C7003" w14:textId="5EE751C4" w:rsidR="000C4FBB" w:rsidRDefault="00D97AF7" w:rsidP="00AE5884">
            <w:pPr>
              <w:cnfStyle w:val="000000100000" w:firstRow="0" w:lastRow="0" w:firstColumn="0" w:lastColumn="0" w:oddVBand="0" w:evenVBand="0" w:oddHBand="1" w:evenHBand="0" w:firstRowFirstColumn="0" w:firstRowLastColumn="0" w:lastRowFirstColumn="0" w:lastRowLastColumn="0"/>
            </w:pPr>
            <w:r w:rsidRPr="0D22F7B2">
              <w:t>According to Autocontrol (</w:t>
            </w:r>
            <w:hyperlink r:id="rId115" w:history="1">
              <w:r w:rsidRPr="0D22F7B2">
                <w:rPr>
                  <w:rStyle w:val="Hyperlink"/>
                </w:rPr>
                <w:t>2024e.</w:t>
              </w:r>
            </w:hyperlink>
            <w:r w:rsidRPr="0D22F7B2">
              <w:t>)</w:t>
            </w:r>
            <w:r w:rsidR="00467242">
              <w:t>, i</w:t>
            </w:r>
            <w:r w:rsidRPr="0D22F7B2">
              <w:t>n terms of funding</w:t>
            </w:r>
            <w:r w:rsidR="00467242">
              <w:t>,</w:t>
            </w:r>
            <w:r w:rsidRPr="0D22F7B2">
              <w:t xml:space="preserve"> all associate members must pay </w:t>
            </w:r>
            <w:r w:rsidR="00467242">
              <w:t>membership</w:t>
            </w:r>
            <w:r w:rsidRPr="0D22F7B2">
              <w:t xml:space="preserve"> fees to maintain Autocontrol, according to the way and the quantity associated </w:t>
            </w:r>
            <w:r w:rsidR="00467242">
              <w:t>with the</w:t>
            </w:r>
            <w:r w:rsidRPr="0D22F7B2">
              <w:t xml:space="preserve"> categories they belong</w:t>
            </w:r>
            <w:r w:rsidR="00467242">
              <w:t xml:space="preserve"> to</w:t>
            </w:r>
            <w:r w:rsidRPr="0D22F7B2">
              <w:t xml:space="preserve">. </w:t>
            </w:r>
            <w:r w:rsidRPr="0D22F7B2">
              <w:lastRenderedPageBreak/>
              <w:t>The same source explains that the economic resources of the association are the following:</w:t>
            </w:r>
          </w:p>
          <w:p w14:paraId="4C420086" w14:textId="374364BD" w:rsidR="000C4FBB" w:rsidRDefault="00467242" w:rsidP="00AE5884">
            <w:pPr>
              <w:pStyle w:val="ListParagraph"/>
              <w:numPr>
                <w:ilvl w:val="0"/>
                <w:numId w:val="9"/>
              </w:numPr>
              <w:cnfStyle w:val="000000100000" w:firstRow="0" w:lastRow="0" w:firstColumn="0" w:lastColumn="0" w:oddVBand="0" w:evenVBand="0" w:oddHBand="1" w:evenHBand="0" w:firstRowFirstColumn="0" w:firstRowLastColumn="0" w:lastRowFirstColumn="0" w:lastRowLastColumn="0"/>
            </w:pPr>
            <w:r>
              <w:t>A</w:t>
            </w:r>
            <w:r w:rsidR="00D97AF7" w:rsidRPr="0D22F7B2">
              <w:t xml:space="preserve">nnual fees, ordinary or extraordinary. </w:t>
            </w:r>
            <w:r>
              <w:t>A</w:t>
            </w:r>
            <w:r w:rsidR="00D97AF7" w:rsidRPr="0D22F7B2">
              <w:t xml:space="preserve">dmission fees, extra apportionment that are agreed. </w:t>
            </w:r>
          </w:p>
          <w:p w14:paraId="1B1B01ED" w14:textId="22F1228E" w:rsidR="000C4FBB" w:rsidRDefault="00467242" w:rsidP="00AE5884">
            <w:pPr>
              <w:pStyle w:val="ListParagraph"/>
              <w:numPr>
                <w:ilvl w:val="0"/>
                <w:numId w:val="9"/>
              </w:numPr>
              <w:cnfStyle w:val="000000100000" w:firstRow="0" w:lastRow="0" w:firstColumn="0" w:lastColumn="0" w:oddVBand="0" w:evenVBand="0" w:oddHBand="1" w:evenHBand="0" w:firstRowFirstColumn="0" w:firstRowLastColumn="0" w:lastRowFirstColumn="0" w:lastRowLastColumn="0"/>
            </w:pPr>
            <w:r>
              <w:t>I</w:t>
            </w:r>
            <w:r w:rsidR="00D97AF7">
              <w:t>nterest and products from social and social and funds and assets.</w:t>
            </w:r>
          </w:p>
          <w:p w14:paraId="7625B47D" w14:textId="77777777" w:rsidR="000C4FBB" w:rsidRDefault="00D97AF7" w:rsidP="00AE5884">
            <w:pPr>
              <w:pStyle w:val="ListParagraph"/>
              <w:numPr>
                <w:ilvl w:val="0"/>
                <w:numId w:val="9"/>
              </w:numPr>
              <w:cnfStyle w:val="000000100000" w:firstRow="0" w:lastRow="0" w:firstColumn="0" w:lastColumn="0" w:oddVBand="0" w:evenVBand="0" w:oddHBand="1" w:evenHBand="0" w:firstRowFirstColumn="0" w:firstRowLastColumn="0" w:lastRowFirstColumn="0" w:lastRowLastColumn="0"/>
            </w:pPr>
            <w:r w:rsidRPr="0D22F7B2">
              <w:t>Donations, contributions, wills or legacies the association could receive.</w:t>
            </w:r>
          </w:p>
          <w:p w14:paraId="1F8A25FC" w14:textId="77777777" w:rsidR="000C4FBB" w:rsidRDefault="00D97AF7" w:rsidP="00AE5884">
            <w:pPr>
              <w:pStyle w:val="ListParagraph"/>
              <w:numPr>
                <w:ilvl w:val="0"/>
                <w:numId w:val="9"/>
              </w:numPr>
              <w:cnfStyle w:val="000000100000" w:firstRow="0" w:lastRow="0" w:firstColumn="0" w:lastColumn="0" w:oddVBand="0" w:evenVBand="0" w:oddHBand="1" w:evenHBand="0" w:firstRowFirstColumn="0" w:firstRowLastColumn="0" w:lastRowFirstColumn="0" w:lastRowLastColumn="0"/>
            </w:pPr>
            <w:r>
              <w:t>Grants given by Public or Private entities</w:t>
            </w:r>
          </w:p>
          <w:p w14:paraId="11DFF0B8" w14:textId="77777777" w:rsidR="000C4FBB" w:rsidRDefault="00D97AF7" w:rsidP="00AE5884">
            <w:pPr>
              <w:pStyle w:val="ListParagraph"/>
              <w:numPr>
                <w:ilvl w:val="0"/>
                <w:numId w:val="9"/>
              </w:numPr>
              <w:cnfStyle w:val="000000100000" w:firstRow="0" w:lastRow="0" w:firstColumn="0" w:lastColumn="0" w:oddVBand="0" w:evenVBand="0" w:oddHBand="1" w:evenHBand="0" w:firstRowFirstColumn="0" w:firstRowLastColumn="0" w:lastRowFirstColumn="0" w:lastRowLastColumn="0"/>
            </w:pPr>
            <w:r>
              <w:t>Payments from services done by the Association to its associates or third-parties.</w:t>
            </w:r>
          </w:p>
          <w:p w14:paraId="572270D9" w14:textId="46DA68A4" w:rsidR="000C4FBB" w:rsidRPr="006D3EDE" w:rsidRDefault="00D97AF7" w:rsidP="00AE5884">
            <w:pPr>
              <w:pStyle w:val="ListParagraph"/>
              <w:numPr>
                <w:ilvl w:val="0"/>
                <w:numId w:val="9"/>
              </w:numPr>
              <w:cnfStyle w:val="000000100000" w:firstRow="0" w:lastRow="0" w:firstColumn="0" w:lastColumn="0" w:oddVBand="0" w:evenVBand="0" w:oddHBand="1" w:evenHBand="0" w:firstRowFirstColumn="0" w:firstRowLastColumn="0" w:lastRowFirstColumn="0" w:lastRowLastColumn="0"/>
            </w:pPr>
            <w:r w:rsidRPr="0D22F7B2">
              <w:t>Whatever other economic resources that come from the developing o</w:t>
            </w:r>
            <w:r w:rsidR="00467242">
              <w:t>f the</w:t>
            </w:r>
            <w:r w:rsidRPr="0D22F7B2">
              <w:t xml:space="preserve"> association</w:t>
            </w:r>
            <w:r w:rsidR="00467242">
              <w:t>’s</w:t>
            </w:r>
            <w:r w:rsidRPr="0D22F7B2">
              <w:t xml:space="preserve"> activities.</w:t>
            </w:r>
          </w:p>
          <w:p w14:paraId="5F5022E6" w14:textId="77777777" w:rsidR="000C4FBB" w:rsidRPr="008E22B3" w:rsidRDefault="000C4FBB" w:rsidP="00AE5884">
            <w:pPr>
              <w:cnfStyle w:val="000000100000" w:firstRow="0" w:lastRow="0" w:firstColumn="0" w:lastColumn="0" w:oddVBand="0" w:evenVBand="0" w:oddHBand="1" w:evenHBand="0" w:firstRowFirstColumn="0" w:firstRowLastColumn="0" w:lastRowFirstColumn="0" w:lastRowLastColumn="0"/>
            </w:pPr>
          </w:p>
          <w:p w14:paraId="2057CB3E" w14:textId="7E6C1870" w:rsidR="000C4FBB" w:rsidRPr="0016559B" w:rsidRDefault="00D97AF7" w:rsidP="00AE5884">
            <w:pPr>
              <w:cnfStyle w:val="000000100000" w:firstRow="0" w:lastRow="0" w:firstColumn="0" w:lastColumn="0" w:oddVBand="0" w:evenVBand="0" w:oddHBand="1" w:evenHBand="0" w:firstRowFirstColumn="0" w:firstRowLastColumn="0" w:lastRowFirstColumn="0" w:lastRowLastColumn="0"/>
              <w:rPr>
                <w:rFonts w:cs="Arial"/>
              </w:rPr>
            </w:pPr>
            <w:r>
              <w:t>The financing of the Advertising Jury is expressly provided for in its Regulations, which stipulate in Article 1.3 that AUTOCONTROL shall provide the resources necessary for its proper functioning. AUTOCONTROL's budget includes a specific item for the financing of the Advertising Jury to cover the different types of costs: jury members, technical support (experts)</w:t>
            </w:r>
            <w:r w:rsidR="00467242">
              <w:t>,</w:t>
            </w:r>
            <w:r>
              <w:t xml:space="preserve"> and administrative costs</w:t>
            </w:r>
            <w:r w:rsidR="00431B73">
              <w:t xml:space="preserve"> </w:t>
            </w:r>
            <w:r w:rsidR="00431B73">
              <w:rPr>
                <w:rFonts w:asciiTheme="minorHAnsi" w:hAnsiTheme="minorHAnsi" w:cstheme="minorHAnsi"/>
              </w:rPr>
              <w:t>(</w:t>
            </w:r>
            <w:hyperlink r:id="rId116" w:history="1">
              <w:r w:rsidR="00431B73">
                <w:rPr>
                  <w:rStyle w:val="Hyperlink"/>
                  <w:rFonts w:asciiTheme="minorHAnsi" w:hAnsiTheme="minorHAnsi" w:cstheme="minorHAnsi"/>
                </w:rPr>
                <w:t>AUTOCONTROL, 2024h</w:t>
              </w:r>
            </w:hyperlink>
            <w:r w:rsidR="00431B73">
              <w:rPr>
                <w:rFonts w:asciiTheme="minorHAnsi" w:hAnsiTheme="minorHAnsi" w:cstheme="minorHAnsi"/>
              </w:rPr>
              <w:t>)</w:t>
            </w:r>
            <w:r>
              <w:t>.</w:t>
            </w:r>
          </w:p>
        </w:tc>
      </w:tr>
      <w:tr w:rsidR="000F492D" w14:paraId="344AFD23"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0747BB4" w14:textId="77777777" w:rsidR="00AE5884" w:rsidRDefault="00D97AF7" w:rsidP="00AE5884">
            <w:pPr>
              <w:spacing w:line="276" w:lineRule="auto"/>
              <w:rPr>
                <w:rFonts w:cs="Arial"/>
                <w:color w:val="747474" w:themeColor="background2" w:themeShade="80"/>
              </w:rPr>
            </w:pPr>
            <w:r>
              <w:rPr>
                <w:rFonts w:cs="Arial"/>
                <w:color w:val="747474" w:themeColor="background2" w:themeShade="80"/>
              </w:rPr>
              <w:lastRenderedPageBreak/>
              <w:t>5.6</w:t>
            </w:r>
          </w:p>
        </w:tc>
        <w:tc>
          <w:tcPr>
            <w:tcW w:w="2192" w:type="dxa"/>
          </w:tcPr>
          <w:p w14:paraId="6FBAA2BF" w14:textId="77777777" w:rsidR="00AE5884" w:rsidRDefault="00D97AF7" w:rsidP="00AE5884">
            <w:pPr>
              <w:pStyle w:val="Subjectcolumntext"/>
              <w:cnfStyle w:val="000000000000" w:firstRow="0" w:lastRow="0" w:firstColumn="0" w:lastColumn="0" w:oddVBand="0" w:evenVBand="0" w:oddHBand="0" w:evenHBand="0" w:firstRowFirstColumn="0" w:firstRowLastColumn="0" w:lastRowFirstColumn="0" w:lastRowLastColumn="0"/>
            </w:pPr>
            <w:r w:rsidRPr="001A5A18">
              <w:t xml:space="preserve">Is there </w:t>
            </w:r>
            <w:r>
              <w:t xml:space="preserve">a self-regulatory </w:t>
            </w:r>
            <w:r w:rsidRPr="001A5A18">
              <w:t>code</w:t>
            </w:r>
            <w:r>
              <w:t>/codes</w:t>
            </w:r>
            <w:r w:rsidRPr="001A5A18">
              <w:t>?</w:t>
            </w:r>
          </w:p>
        </w:tc>
        <w:tc>
          <w:tcPr>
            <w:tcW w:w="2119" w:type="dxa"/>
          </w:tcPr>
          <w:p w14:paraId="66026AFA" w14:textId="77777777" w:rsidR="00AE5884" w:rsidRDefault="00AE5884" w:rsidP="00AE588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05CEE0C0" w14:textId="77777777" w:rsidR="00AE5884" w:rsidRPr="00B7771A" w:rsidRDefault="00D97AF7" w:rsidP="00AE5884">
            <w:pPr>
              <w:spacing w:after="160"/>
              <w:cnfStyle w:val="000000000000" w:firstRow="0" w:lastRow="0" w:firstColumn="0" w:lastColumn="0" w:oddVBand="0" w:evenVBand="0" w:oddHBand="0" w:evenHBand="0" w:firstRowFirstColumn="0" w:firstRowLastColumn="0" w:lastRowFirstColumn="0" w:lastRowLastColumn="0"/>
              <w:rPr>
                <w:color w:val="000000"/>
              </w:rPr>
            </w:pPr>
            <w:r>
              <w:rPr>
                <w:color w:val="000000"/>
              </w:rPr>
              <w:t xml:space="preserve">Autocontrol has two main codes, which cover commercial communications of all products/services in all </w:t>
            </w:r>
            <w:r w:rsidRPr="00B7771A">
              <w:rPr>
                <w:color w:val="000000"/>
              </w:rPr>
              <w:t xml:space="preserve">media: </w:t>
            </w:r>
          </w:p>
          <w:p w14:paraId="6C90D6C0" w14:textId="13F26A44" w:rsidR="00AE5884" w:rsidRDefault="00D97AF7" w:rsidP="00AE5884">
            <w:pPr>
              <w:numPr>
                <w:ilvl w:val="0"/>
                <w:numId w:val="12"/>
              </w:num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eastAsia="Calibri"/>
                <w:color w:val="000000"/>
              </w:rPr>
            </w:pPr>
            <w:r w:rsidRPr="00B7771A">
              <w:rPr>
                <w:rFonts w:eastAsia="Calibri"/>
                <w:color w:val="000000"/>
              </w:rPr>
              <w:t>General Code of Advertising Practice (</w:t>
            </w:r>
            <w:hyperlink r:id="rId117" w:history="1">
              <w:r w:rsidRPr="00B7771A">
                <w:rPr>
                  <w:rStyle w:val="Hyperlink"/>
                  <w:rFonts w:eastAsia="Calibri"/>
                </w:rPr>
                <w:t>Autocontrol, 2024f</w:t>
              </w:r>
            </w:hyperlink>
            <w:r w:rsidRPr="00B7771A">
              <w:rPr>
                <w:rFonts w:eastAsia="Calibri"/>
                <w:color w:val="000000"/>
              </w:rPr>
              <w:t>.): Autocontrol</w:t>
            </w:r>
            <w:r>
              <w:rPr>
                <w:rFonts w:eastAsia="Calibri"/>
                <w:color w:val="000000"/>
              </w:rPr>
              <w:t xml:space="preserve">‘s Code of Advertising Practice was approved in December 1996 and last updated in April 2011. The rules on ethics apply to all advertising communication activities which, directly or indirectly encourage the trading of goods or services or promote trademarks or trade names, whatever the medium used. The main principles are that advertising must be: </w:t>
            </w:r>
          </w:p>
          <w:p w14:paraId="0B8B7C03" w14:textId="77777777" w:rsidR="00AE5884" w:rsidRDefault="00D97AF7" w:rsidP="00AE5884">
            <w:pPr>
              <w:numPr>
                <w:ilvl w:val="1"/>
                <w:numId w:val="11"/>
              </w:num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legal (advertising shall respect current legislation and, especially, all values, rights and principles recognized under the Spanish Constitution); </w:t>
            </w:r>
          </w:p>
          <w:p w14:paraId="0121471A" w14:textId="77777777" w:rsidR="00AE5884" w:rsidRDefault="00D97AF7" w:rsidP="00AE5884">
            <w:pPr>
              <w:numPr>
                <w:ilvl w:val="1"/>
                <w:numId w:val="11"/>
              </w:num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fair (advertising shall never constitute a means to abuse the good faith of the consumer); and </w:t>
            </w:r>
          </w:p>
          <w:p w14:paraId="74B152E9" w14:textId="77777777" w:rsidR="00AE5884" w:rsidRDefault="00D97AF7" w:rsidP="00AE5884">
            <w:pPr>
              <w:numPr>
                <w:ilvl w:val="1"/>
                <w:numId w:val="11"/>
              </w:numPr>
              <w:pBdr>
                <w:top w:val="nil"/>
                <w:left w:val="nil"/>
                <w:bottom w:val="nil"/>
                <w:right w:val="nil"/>
                <w:between w:val="nil"/>
              </w:pBdr>
              <w:cnfStyle w:val="000000000000" w:firstRow="0" w:lastRow="0" w:firstColumn="0" w:lastColumn="0" w:oddVBand="0" w:evenVBand="0" w:oddHBand="0" w:evenHBand="0" w:firstRowFirstColumn="0" w:firstRowLastColumn="0" w:lastRowFirstColumn="0" w:lastRowLastColumn="0"/>
              <w:rPr>
                <w:rFonts w:eastAsia="Calibri"/>
                <w:color w:val="000000"/>
              </w:rPr>
            </w:pPr>
            <w:r>
              <w:rPr>
                <w:rFonts w:eastAsia="Calibri"/>
                <w:color w:val="000000"/>
              </w:rPr>
              <w:t xml:space="preserve">truthful (advertising shall not be misleading). </w:t>
            </w:r>
          </w:p>
          <w:p w14:paraId="51C6A3C3" w14:textId="3E154364" w:rsidR="00AE5884" w:rsidRPr="00B7771A" w:rsidRDefault="00D97AF7" w:rsidP="00AE5884">
            <w:pPr>
              <w:numPr>
                <w:ilvl w:val="0"/>
                <w:numId w:val="10"/>
              </w:numPr>
              <w:pBdr>
                <w:top w:val="nil"/>
                <w:left w:val="nil"/>
                <w:bottom w:val="nil"/>
                <w:right w:val="nil"/>
                <w:between w:val="nil"/>
              </w:pBdr>
              <w:spacing w:after="160"/>
              <w:cnfStyle w:val="000000000000" w:firstRow="0" w:lastRow="0" w:firstColumn="0" w:lastColumn="0" w:oddVBand="0" w:evenVBand="0" w:oddHBand="0" w:evenHBand="0" w:firstRowFirstColumn="0" w:firstRowLastColumn="0" w:lastRowFirstColumn="0" w:lastRowLastColumn="0"/>
              <w:rPr>
                <w:rFonts w:eastAsia="Calibri"/>
                <w:color w:val="000000"/>
              </w:rPr>
            </w:pPr>
            <w:r w:rsidRPr="00B7771A">
              <w:rPr>
                <w:rFonts w:eastAsia="Calibri"/>
                <w:color w:val="000000"/>
              </w:rPr>
              <w:t>Ethical Code of ‘Confianza Online’</w:t>
            </w:r>
            <w:r>
              <w:rPr>
                <w:rFonts w:eastAsia="Calibri"/>
                <w:color w:val="000000"/>
              </w:rPr>
              <w:t xml:space="preserve"> (</w:t>
            </w:r>
            <w:hyperlink r:id="rId118" w:history="1">
              <w:r w:rsidRPr="00B7771A">
                <w:rPr>
                  <w:rStyle w:val="Hyperlink"/>
                  <w:rFonts w:eastAsia="Calibri"/>
                </w:rPr>
                <w:t>Autocontrol, 2024g</w:t>
              </w:r>
            </w:hyperlink>
            <w:r>
              <w:rPr>
                <w:rFonts w:eastAsia="Calibri"/>
                <w:color w:val="000000"/>
              </w:rPr>
              <w:t>.)</w:t>
            </w:r>
            <w:r w:rsidRPr="00B7771A">
              <w:rPr>
                <w:rFonts w:eastAsia="Calibri"/>
                <w:color w:val="000000"/>
              </w:rPr>
              <w:t xml:space="preserve">: Confianza Online is an association established in 2003, which acts as a private self-regulation system for the interactive advertising and e-commerce industries. Its primary aim is to build the trust of internet users by providing businesses and organizations with the ‘Confianza </w:t>
            </w:r>
            <w:r w:rsidRPr="00B7771A">
              <w:rPr>
                <w:rFonts w:eastAsia="Calibri"/>
                <w:color w:val="000000"/>
              </w:rPr>
              <w:lastRenderedPageBreak/>
              <w:t xml:space="preserve">Online’ Trust </w:t>
            </w:r>
            <w:r w:rsidR="00467242">
              <w:rPr>
                <w:rFonts w:eastAsia="Calibri"/>
                <w:color w:val="000000"/>
              </w:rPr>
              <w:t>seal</w:t>
            </w:r>
            <w:r w:rsidRPr="00B7771A">
              <w:rPr>
                <w:rFonts w:eastAsia="Calibri"/>
                <w:color w:val="000000"/>
              </w:rPr>
              <w:t xml:space="preserve"> to be displayed on their websites. </w:t>
            </w:r>
          </w:p>
          <w:p w14:paraId="4C85639B" w14:textId="2551730C" w:rsidR="00AE5884" w:rsidRPr="0016559B" w:rsidRDefault="00D97AF7" w:rsidP="00AE5884">
            <w:pPr>
              <w:cnfStyle w:val="000000000000" w:firstRow="0" w:lastRow="0" w:firstColumn="0" w:lastColumn="0" w:oddVBand="0" w:evenVBand="0" w:oddHBand="0" w:evenHBand="0" w:firstRowFirstColumn="0" w:firstRowLastColumn="0" w:lastRowFirstColumn="0" w:lastRowLastColumn="0"/>
              <w:rPr>
                <w:rFonts w:cs="Arial"/>
              </w:rPr>
            </w:pPr>
            <w:r>
              <w:rPr>
                <w:color w:val="000000"/>
              </w:rPr>
              <w:t>These codes are based upon prevailing international codes. They represent an updated interpretation of basic and general principles applicable to commercial communications.</w:t>
            </w:r>
          </w:p>
        </w:tc>
      </w:tr>
      <w:tr w:rsidR="000F492D" w14:paraId="211580E8"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3BDDFAA9" w14:textId="77777777" w:rsidR="00AE5884" w:rsidRDefault="00D97AF7" w:rsidP="00AE5884">
            <w:pPr>
              <w:spacing w:line="276" w:lineRule="auto"/>
              <w:rPr>
                <w:rFonts w:cs="Arial"/>
                <w:color w:val="747474" w:themeColor="background2" w:themeShade="80"/>
              </w:rPr>
            </w:pPr>
            <w:r>
              <w:rPr>
                <w:rFonts w:cs="Arial"/>
                <w:color w:val="747474" w:themeColor="background2" w:themeShade="80"/>
              </w:rPr>
              <w:lastRenderedPageBreak/>
              <w:t>5.7</w:t>
            </w:r>
          </w:p>
        </w:tc>
        <w:tc>
          <w:tcPr>
            <w:tcW w:w="2192" w:type="dxa"/>
          </w:tcPr>
          <w:p w14:paraId="4DE60228" w14:textId="77777777" w:rsidR="00AE5884" w:rsidRDefault="00D97AF7" w:rsidP="00AE5884">
            <w:pPr>
              <w:pStyle w:val="Subjectcolumntext"/>
              <w:cnfStyle w:val="000000100000" w:firstRow="0" w:lastRow="0" w:firstColumn="0" w:lastColumn="0" w:oddVBand="0" w:evenVBand="0" w:oddHBand="1" w:evenHBand="0" w:firstRowFirstColumn="0" w:firstRowLastColumn="0" w:lastRowFirstColumn="0" w:lastRowLastColumn="0"/>
            </w:pPr>
            <w:r w:rsidRPr="000D0D7E">
              <w:t>What are the key principles of the code?</w:t>
            </w:r>
          </w:p>
        </w:tc>
        <w:tc>
          <w:tcPr>
            <w:tcW w:w="2119" w:type="dxa"/>
          </w:tcPr>
          <w:p w14:paraId="0BED8D6E" w14:textId="77777777" w:rsidR="00AE5884" w:rsidRDefault="00AE5884" w:rsidP="00AE588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335760B8" w14:textId="77777777" w:rsidR="00BB529B" w:rsidRDefault="00D97AF7" w:rsidP="00BB529B">
            <w:pPr>
              <w:cnfStyle w:val="000000100000" w:firstRow="0" w:lastRow="0" w:firstColumn="0" w:lastColumn="0" w:oddVBand="0" w:evenVBand="0" w:oddHBand="1" w:evenHBand="0" w:firstRowFirstColumn="0" w:firstRowLastColumn="0" w:lastRowFirstColumn="0" w:lastRowLastColumn="0"/>
              <w:rPr>
                <w:color w:val="000000" w:themeColor="text1"/>
              </w:rPr>
            </w:pPr>
            <w:r w:rsidRPr="00E92192">
              <w:rPr>
                <w:color w:val="000000" w:themeColor="text1"/>
              </w:rPr>
              <w:t>A</w:t>
            </w:r>
            <w:r w:rsidR="00B5525D">
              <w:rPr>
                <w:color w:val="000000" w:themeColor="text1"/>
              </w:rPr>
              <w:t>utocontrol</w:t>
            </w:r>
            <w:r>
              <w:rPr>
                <w:color w:val="000000" w:themeColor="text1"/>
              </w:rPr>
              <w:t xml:space="preserve">’s </w:t>
            </w:r>
            <w:r w:rsidRPr="00E92192">
              <w:rPr>
                <w:color w:val="000000" w:themeColor="text1"/>
              </w:rPr>
              <w:t xml:space="preserve">Advertising Code of Conduct </w:t>
            </w:r>
            <w:r>
              <w:rPr>
                <w:color w:val="000000" w:themeColor="text1"/>
              </w:rPr>
              <w:t>set</w:t>
            </w:r>
            <w:r w:rsidR="00B5525D">
              <w:rPr>
                <w:color w:val="000000" w:themeColor="text1"/>
              </w:rPr>
              <w:t>s</w:t>
            </w:r>
            <w:r>
              <w:rPr>
                <w:color w:val="000000" w:themeColor="text1"/>
              </w:rPr>
              <w:t xml:space="preserve"> out key principles </w:t>
            </w:r>
            <w:r w:rsidR="00B5525D">
              <w:rPr>
                <w:color w:val="000000" w:themeColor="text1"/>
              </w:rPr>
              <w:t xml:space="preserve">in line with the ICC and other SRO codes for marketing communications: </w:t>
            </w:r>
            <w:r w:rsidRPr="00E92192">
              <w:rPr>
                <w:color w:val="000000" w:themeColor="text1"/>
              </w:rPr>
              <w:t>‘Legal, Decent, Honest, Truthful, Socially Responsible, Fair, Respecting Privacy Rules’ (ICAS 2021)</w:t>
            </w:r>
            <w:r w:rsidR="00E92192">
              <w:rPr>
                <w:color w:val="000000" w:themeColor="text1"/>
              </w:rPr>
              <w:t>.</w:t>
            </w:r>
          </w:p>
          <w:p w14:paraId="3A264FAE" w14:textId="77777777" w:rsidR="00E92192" w:rsidRPr="00E92192" w:rsidRDefault="00E92192" w:rsidP="00BB529B">
            <w:pPr>
              <w:cnfStyle w:val="000000100000" w:firstRow="0" w:lastRow="0" w:firstColumn="0" w:lastColumn="0" w:oddVBand="0" w:evenVBand="0" w:oddHBand="1" w:evenHBand="0" w:firstRowFirstColumn="0" w:firstRowLastColumn="0" w:lastRowFirstColumn="0" w:lastRowLastColumn="0"/>
              <w:rPr>
                <w:color w:val="000000" w:themeColor="text1"/>
              </w:rPr>
            </w:pPr>
          </w:p>
          <w:p w14:paraId="6ACBA212" w14:textId="00CBC891" w:rsidR="00AE5884" w:rsidRPr="0016559B" w:rsidRDefault="00D97AF7" w:rsidP="00345F53">
            <w:pPr>
              <w:cnfStyle w:val="000000100000" w:firstRow="0" w:lastRow="0" w:firstColumn="0" w:lastColumn="0" w:oddVBand="0" w:evenVBand="0" w:oddHBand="1" w:evenHBand="0" w:firstRowFirstColumn="0" w:firstRowLastColumn="0" w:lastRowFirstColumn="0" w:lastRowLastColumn="0"/>
              <w:rPr>
                <w:rFonts w:cs="Arial"/>
              </w:rPr>
            </w:pPr>
            <w:r w:rsidRPr="00E92192">
              <w:rPr>
                <w:color w:val="000000" w:themeColor="text1"/>
              </w:rPr>
              <w:t>The basic principles are the positive value of advertising, respect for legality and the Spanish Constitution</w:t>
            </w:r>
            <w:r w:rsidR="00E92192">
              <w:rPr>
                <w:color w:val="000000" w:themeColor="text1"/>
              </w:rPr>
              <w:t xml:space="preserve"> Marketers must </w:t>
            </w:r>
            <w:r w:rsidRPr="00E92192">
              <w:rPr>
                <w:color w:val="000000" w:themeColor="text1"/>
              </w:rPr>
              <w:t>act in good faith, not incite violence or discrimination, not exploit fear, respect good taste, honour</w:t>
            </w:r>
            <w:r w:rsidR="00467242">
              <w:rPr>
                <w:color w:val="000000" w:themeColor="text1"/>
              </w:rPr>
              <w:t xml:space="preserve"> and </w:t>
            </w:r>
            <w:r w:rsidRPr="00E92192">
              <w:rPr>
                <w:color w:val="000000" w:themeColor="text1"/>
              </w:rPr>
              <w:t>the environment</w:t>
            </w:r>
            <w:r w:rsidR="00467242">
              <w:rPr>
                <w:color w:val="000000" w:themeColor="text1"/>
              </w:rPr>
              <w:t>,</w:t>
            </w:r>
            <w:r w:rsidRPr="00E92192">
              <w:rPr>
                <w:color w:val="000000" w:themeColor="text1"/>
              </w:rPr>
              <w:t xml:space="preserve"> and not encourage dangerous practices or practices that put people at risk. </w:t>
            </w:r>
          </w:p>
        </w:tc>
      </w:tr>
      <w:tr w:rsidR="000F492D" w14:paraId="1052550F"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0FEFB34" w14:textId="77777777" w:rsidR="00AE5884" w:rsidRDefault="00D97AF7" w:rsidP="00AE5884">
            <w:pPr>
              <w:spacing w:line="276" w:lineRule="auto"/>
              <w:rPr>
                <w:rFonts w:cs="Arial"/>
                <w:color w:val="747474" w:themeColor="background2" w:themeShade="80"/>
              </w:rPr>
            </w:pPr>
            <w:r>
              <w:rPr>
                <w:rFonts w:cs="Arial"/>
                <w:color w:val="747474" w:themeColor="background2" w:themeShade="80"/>
              </w:rPr>
              <w:t>5.8</w:t>
            </w:r>
          </w:p>
        </w:tc>
        <w:tc>
          <w:tcPr>
            <w:tcW w:w="2192" w:type="dxa"/>
          </w:tcPr>
          <w:p w14:paraId="60F7D933" w14:textId="77777777" w:rsidR="00AE5884" w:rsidRDefault="00D97AF7" w:rsidP="00AE5884">
            <w:pPr>
              <w:pStyle w:val="Subjectcolumntext"/>
              <w:cnfStyle w:val="000000000000" w:firstRow="0" w:lastRow="0" w:firstColumn="0" w:lastColumn="0" w:oddVBand="0" w:evenVBand="0" w:oddHBand="0" w:evenHBand="0" w:firstRowFirstColumn="0" w:firstRowLastColumn="0" w:lastRowFirstColumn="0" w:lastRowLastColumn="0"/>
            </w:pPr>
            <w:r w:rsidRPr="005F05C3">
              <w:t>Is the code ICC derived?</w:t>
            </w:r>
          </w:p>
        </w:tc>
        <w:tc>
          <w:tcPr>
            <w:tcW w:w="2119" w:type="dxa"/>
          </w:tcPr>
          <w:p w14:paraId="1F54552B" w14:textId="77777777" w:rsidR="00AE5884" w:rsidRDefault="00D97AF7" w:rsidP="00AE5884">
            <w:pPr>
              <w:pStyle w:val="Classificationcolumntext"/>
              <w:cnfStyle w:val="000000000000" w:firstRow="0" w:lastRow="0" w:firstColumn="0" w:lastColumn="0" w:oddVBand="0" w:evenVBand="0" w:oddHBand="0" w:evenHBand="0" w:firstRowFirstColumn="0" w:firstRowLastColumn="0" w:lastRowFirstColumn="0" w:lastRowLastColumn="0"/>
            </w:pPr>
            <w:r>
              <w:t>Yes</w:t>
            </w:r>
          </w:p>
        </w:tc>
        <w:tc>
          <w:tcPr>
            <w:tcW w:w="5616" w:type="dxa"/>
          </w:tcPr>
          <w:p w14:paraId="01540BB8" w14:textId="77777777" w:rsidR="00AE5884" w:rsidRPr="0016559B" w:rsidRDefault="00D97AF7" w:rsidP="00AE5884">
            <w:pPr>
              <w:spacing w:line="276" w:lineRule="auto"/>
              <w:cnfStyle w:val="000000000000" w:firstRow="0" w:lastRow="0" w:firstColumn="0" w:lastColumn="0" w:oddVBand="0" w:evenVBand="0" w:oddHBand="0" w:evenHBand="0" w:firstRowFirstColumn="0" w:firstRowLastColumn="0" w:lastRowFirstColumn="0" w:lastRowLastColumn="0"/>
              <w:rPr>
                <w:rFonts w:cs="Arial"/>
              </w:rPr>
            </w:pPr>
            <w:r>
              <w:t xml:space="preserve">Yes, Autocontrol’s </w:t>
            </w:r>
            <w:r w:rsidR="006317C4">
              <w:t xml:space="preserve">main </w:t>
            </w:r>
            <w:r>
              <w:t>codes are based on/ is inspired by the ICC Code (</w:t>
            </w:r>
            <w:hyperlink r:id="rId119" w:history="1">
              <w:r>
                <w:rPr>
                  <w:color w:val="0563C1"/>
                  <w:u w:val="single"/>
                </w:rPr>
                <w:t>ICAS 2021</w:t>
              </w:r>
            </w:hyperlink>
            <w:r>
              <w:t>).</w:t>
            </w:r>
          </w:p>
        </w:tc>
      </w:tr>
      <w:tr w:rsidR="000F492D" w14:paraId="29728858"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4195D14E" w14:textId="77777777" w:rsidR="00AE5884" w:rsidRDefault="00D97AF7" w:rsidP="00AE5884">
            <w:pPr>
              <w:spacing w:line="276" w:lineRule="auto"/>
              <w:rPr>
                <w:rFonts w:cs="Arial"/>
                <w:color w:val="747474" w:themeColor="background2" w:themeShade="80"/>
              </w:rPr>
            </w:pPr>
            <w:r>
              <w:rPr>
                <w:rFonts w:cs="Arial"/>
                <w:color w:val="747474" w:themeColor="background2" w:themeShade="80"/>
              </w:rPr>
              <w:t>5.9</w:t>
            </w:r>
          </w:p>
        </w:tc>
        <w:tc>
          <w:tcPr>
            <w:tcW w:w="2192" w:type="dxa"/>
          </w:tcPr>
          <w:p w14:paraId="2B8B6CCD" w14:textId="77777777" w:rsidR="00AE5884" w:rsidRDefault="00D97AF7" w:rsidP="00AE5884">
            <w:pPr>
              <w:pStyle w:val="Subjectcolumntext"/>
              <w:cnfStyle w:val="000000100000" w:firstRow="0" w:lastRow="0" w:firstColumn="0" w:lastColumn="0" w:oddVBand="0" w:evenVBand="0" w:oddHBand="1" w:evenHBand="0" w:firstRowFirstColumn="0" w:firstRowLastColumn="0" w:lastRowFirstColumn="0" w:lastRowLastColumn="0"/>
            </w:pPr>
            <w:r w:rsidRPr="001224E4">
              <w:t>Is the primary SRO a formal member of a supranational association?</w:t>
            </w:r>
          </w:p>
        </w:tc>
        <w:tc>
          <w:tcPr>
            <w:tcW w:w="2119" w:type="dxa"/>
          </w:tcPr>
          <w:p w14:paraId="1ED9ACF9" w14:textId="77777777" w:rsidR="00AE5884" w:rsidRDefault="00D97AF7" w:rsidP="00AE5884">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6" w:type="dxa"/>
          </w:tcPr>
          <w:p w14:paraId="1FCD7E49" w14:textId="77777777" w:rsidR="00AE5884" w:rsidRPr="0016559B" w:rsidRDefault="00D97AF7" w:rsidP="00AE5884">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5C99EEFA">
              <w:t xml:space="preserve">Yes, Autocontrol is a formal member of European Advertising Standards Alliance </w:t>
            </w:r>
            <w:r>
              <w:t xml:space="preserve">(EASA) </w:t>
            </w:r>
            <w:r w:rsidRPr="5C99EEFA">
              <w:t>and The International Council for Ad Self-Regulation (ICAS 2021).</w:t>
            </w:r>
          </w:p>
        </w:tc>
      </w:tr>
      <w:tr w:rsidR="000F492D" w14:paraId="16393331"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29E558EF" w14:textId="77777777" w:rsidR="00AE5884" w:rsidRDefault="00D97AF7" w:rsidP="00AE5884">
            <w:pPr>
              <w:spacing w:line="276" w:lineRule="auto"/>
              <w:rPr>
                <w:rFonts w:cs="Arial"/>
                <w:color w:val="747474" w:themeColor="background2" w:themeShade="80"/>
              </w:rPr>
            </w:pPr>
            <w:r>
              <w:rPr>
                <w:rFonts w:cs="Arial"/>
                <w:color w:val="747474" w:themeColor="background2" w:themeShade="80"/>
              </w:rPr>
              <w:t>5.10</w:t>
            </w:r>
          </w:p>
        </w:tc>
        <w:tc>
          <w:tcPr>
            <w:tcW w:w="2192" w:type="dxa"/>
          </w:tcPr>
          <w:p w14:paraId="5E918ECE" w14:textId="77777777" w:rsidR="00AE5884" w:rsidRDefault="00D97AF7" w:rsidP="00AE5884">
            <w:pPr>
              <w:pStyle w:val="Subjectcolumntext"/>
              <w:cnfStyle w:val="000000000000" w:firstRow="0" w:lastRow="0" w:firstColumn="0" w:lastColumn="0" w:oddVBand="0" w:evenVBand="0" w:oddHBand="0" w:evenHBand="0" w:firstRowFirstColumn="0" w:firstRowLastColumn="0" w:lastRowFirstColumn="0" w:lastRowLastColumn="0"/>
            </w:pPr>
            <w:r w:rsidRPr="00D47D24">
              <w:t>Are there multiple SRO codes?</w:t>
            </w:r>
          </w:p>
        </w:tc>
        <w:tc>
          <w:tcPr>
            <w:tcW w:w="2119" w:type="dxa"/>
          </w:tcPr>
          <w:p w14:paraId="112067B4" w14:textId="77777777" w:rsidR="00AE5884" w:rsidRDefault="00D97AF7" w:rsidP="00AE5884">
            <w:pPr>
              <w:pStyle w:val="Classificationcolumntext"/>
              <w:cnfStyle w:val="000000000000" w:firstRow="0" w:lastRow="0" w:firstColumn="0" w:lastColumn="0" w:oddVBand="0" w:evenVBand="0" w:oddHBand="0" w:evenHBand="0" w:firstRowFirstColumn="0" w:firstRowLastColumn="0" w:lastRowFirstColumn="0" w:lastRowLastColumn="0"/>
            </w:pPr>
            <w:r>
              <w:t>Yes</w:t>
            </w:r>
          </w:p>
        </w:tc>
        <w:tc>
          <w:tcPr>
            <w:tcW w:w="5616" w:type="dxa"/>
          </w:tcPr>
          <w:p w14:paraId="23372954" w14:textId="77777777" w:rsidR="00AE5884" w:rsidRPr="0016559B" w:rsidRDefault="00D97AF7" w:rsidP="00AE5884">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Pr>
                <w:rFonts w:cs="Arial"/>
              </w:rPr>
              <w:t>Yes</w:t>
            </w:r>
          </w:p>
        </w:tc>
      </w:tr>
      <w:tr w:rsidR="000F492D" w14:paraId="28F9C519"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B6D90B4"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t>5.11</w:t>
            </w:r>
          </w:p>
        </w:tc>
        <w:tc>
          <w:tcPr>
            <w:tcW w:w="2192" w:type="dxa"/>
          </w:tcPr>
          <w:p w14:paraId="2555222F" w14:textId="77777777" w:rsidR="00431B73" w:rsidRDefault="00D97AF7" w:rsidP="00431B73">
            <w:pPr>
              <w:pStyle w:val="Subjectcolumntext"/>
              <w:cnfStyle w:val="000000100000" w:firstRow="0" w:lastRow="0" w:firstColumn="0" w:lastColumn="0" w:oddVBand="0" w:evenVBand="0" w:oddHBand="1" w:evenHBand="0" w:firstRowFirstColumn="0" w:firstRowLastColumn="0" w:lastRowFirstColumn="0" w:lastRowLastColumn="0"/>
            </w:pPr>
            <w:r w:rsidRPr="0088057A">
              <w:t xml:space="preserve">Main codes </w:t>
            </w:r>
            <w:r w:rsidRPr="003F4ABE">
              <w:rPr>
                <w:b w:val="0"/>
                <w:bCs w:val="0"/>
              </w:rPr>
              <w:t>(description)</w:t>
            </w:r>
          </w:p>
        </w:tc>
        <w:tc>
          <w:tcPr>
            <w:tcW w:w="2119" w:type="dxa"/>
          </w:tcPr>
          <w:p w14:paraId="4E0D21EA" w14:textId="77777777" w:rsidR="00431B73" w:rsidRDefault="00431B73" w:rsidP="00431B7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68DAFABA"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rPr>
            </w:pPr>
            <w:r w:rsidRPr="00431B73">
              <w:rPr>
                <w:rFonts w:cs="Arial"/>
              </w:rPr>
              <w:t>Code of Conduct for Data Treatment in Advertising [Código de Tratamiento de la Actividad Publicitaria] (</w:t>
            </w:r>
            <w:hyperlink w:history="1">
              <w:r w:rsidRPr="00431B73">
                <w:rPr>
                  <w:rStyle w:val="Hyperlink"/>
                  <w:rFonts w:cs="Arial"/>
                </w:rPr>
                <w:t>AUTOCONTROL, 2020, modified in 2023</w:t>
              </w:r>
            </w:hyperlink>
            <w:r w:rsidRPr="00431B73">
              <w:rPr>
                <w:rFonts w:cs="Arial"/>
              </w:rPr>
              <w:t>)</w:t>
            </w:r>
          </w:p>
          <w:p w14:paraId="33D1A0EA" w14:textId="77777777" w:rsidR="00431B73" w:rsidRPr="002B4677"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rPr>
            </w:pPr>
            <w:r w:rsidRPr="002B4677">
              <w:rPr>
                <w:rFonts w:cs="Arial"/>
              </w:rPr>
              <w:t>Code of Conduct on the Use of Influencers in Advertising [Código de Conducta sobre el Uso de Influencers en la Publicidad] (</w:t>
            </w:r>
            <w:hyperlink r:id="rId120" w:history="1">
              <w:r w:rsidRPr="002B4677">
                <w:rPr>
                  <w:rStyle w:val="Hyperlink"/>
                  <w:rFonts w:cs="Arial"/>
                </w:rPr>
                <w:t>Asociación Española de Anunciantes and  AUTOCONTROL, 2020</w:t>
              </w:r>
            </w:hyperlink>
            <w:r w:rsidRPr="002B4677">
              <w:rPr>
                <w:rFonts w:cs="Arial"/>
              </w:rPr>
              <w:t>)</w:t>
            </w:r>
          </w:p>
          <w:p w14:paraId="0C1707B4" w14:textId="77777777" w:rsidR="00431B73" w:rsidRPr="002B4677"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rPr>
            </w:pPr>
            <w:r w:rsidRPr="002B4677">
              <w:rPr>
                <w:rFonts w:cs="Arial"/>
              </w:rPr>
              <w:t>Code of Good Practices for the Labelling of Wet Wipes and Wet Toilet Paper [Código de Buenas Prácticas del Etiquetado de las Toallitas y el Papel Higiénico Húmedo] (</w:t>
            </w:r>
            <w:hyperlink r:id="rId121" w:history="1">
              <w:r w:rsidRPr="002B4677">
                <w:rPr>
                  <w:rStyle w:val="Hyperlink"/>
                  <w:rFonts w:cs="Arial"/>
                </w:rPr>
                <w:t>STANPA, 2019</w:t>
              </w:r>
            </w:hyperlink>
            <w:r w:rsidRPr="002B4677">
              <w:rPr>
                <w:rFonts w:cs="Arial"/>
              </w:rPr>
              <w:t>)</w:t>
            </w:r>
          </w:p>
          <w:p w14:paraId="6A8F3DEF"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color w:val="FF0000"/>
                <w:lang w:val="es-ES"/>
              </w:rPr>
            </w:pPr>
            <w:r w:rsidRPr="00431B73">
              <w:rPr>
                <w:rFonts w:cs="Arial"/>
                <w:lang w:val="es-ES"/>
              </w:rPr>
              <w:t>Commercial Communication Code for Wine [Código de Comunicación Comercial del Vino. Enero 2021] (</w:t>
            </w:r>
            <w:hyperlink r:id="rId122" w:history="1">
              <w:r w:rsidRPr="00431B73">
                <w:rPr>
                  <w:rStyle w:val="Hyperlink"/>
                  <w:rFonts w:cs="Arial"/>
                  <w:lang w:val="es-ES"/>
                </w:rPr>
                <w:t>OIVE, 2018, modified in 2021</w:t>
              </w:r>
            </w:hyperlink>
            <w:r w:rsidRPr="00431B73">
              <w:rPr>
                <w:rFonts w:cs="Arial"/>
                <w:lang w:val="es-ES"/>
              </w:rPr>
              <w:t>)</w:t>
            </w:r>
          </w:p>
          <w:p w14:paraId="1447E6D9"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lastRenderedPageBreak/>
              <w:t>Code of Conduct on Interactions with the Healthcare Community [Código de Conducta sobre Interacciones con la Comunidad Sanitaria], (</w:t>
            </w:r>
            <w:hyperlink r:id="rId123" w:history="1">
              <w:r w:rsidRPr="00431B73">
                <w:rPr>
                  <w:rStyle w:val="Hyperlink"/>
                  <w:rFonts w:cs="Arial"/>
                  <w:lang w:val="es-ES"/>
                </w:rPr>
                <w:t>AESEG, 2018 modified in 2022</w:t>
              </w:r>
            </w:hyperlink>
            <w:r w:rsidRPr="00431B73">
              <w:rPr>
                <w:rFonts w:cs="Arial"/>
                <w:lang w:val="es-ES"/>
              </w:rPr>
              <w:t>)</w:t>
            </w:r>
          </w:p>
          <w:p w14:paraId="256FD153"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Ethical Code of Good Practices for the Bottled Drinking Water Sector in terms of Labelling and Advertising [Código deontológico de Buenas Prácticas del Sector de Aguas de BebIda Envasada en Materia de Etiquetado y Publicidad] (</w:t>
            </w:r>
            <w:hyperlink r:id="rId124" w:history="1">
              <w:r w:rsidRPr="00431B73">
                <w:rPr>
                  <w:rStyle w:val="Hyperlink"/>
                  <w:rFonts w:cs="Arial"/>
                  <w:lang w:val="es-ES"/>
                </w:rPr>
                <w:t>ANEABE, 2016</w:t>
              </w:r>
            </w:hyperlink>
            <w:r w:rsidRPr="00431B73">
              <w:rPr>
                <w:rFonts w:cs="Arial"/>
                <w:lang w:val="es-ES"/>
              </w:rPr>
              <w:t>)</w:t>
            </w:r>
          </w:p>
          <w:p w14:paraId="4DBE235C"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Ethical Code of Advertising in Cinema by leading exclusive agencies of cinematographic advertising [Código Ético de Publicidad en el Cine] (</w:t>
            </w:r>
            <w:hyperlink r:id="rId125" w:history="1">
              <w:r w:rsidRPr="00431B73">
                <w:rPr>
                  <w:rStyle w:val="Hyperlink"/>
                  <w:rFonts w:cs="Arial"/>
                  <w:lang w:val="es-ES"/>
                </w:rPr>
                <w:t>Movierecord, Discine, and 014 IN, 2016</w:t>
              </w:r>
            </w:hyperlink>
            <w:r w:rsidRPr="00431B73">
              <w:rPr>
                <w:rFonts w:cs="Arial"/>
                <w:lang w:val="es-ES"/>
              </w:rPr>
              <w:t>)</w:t>
            </w:r>
          </w:p>
          <w:p w14:paraId="125F61D5"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Self-Regulation Code for Responsible Communication in the Perfumery and Cosmetics Sector [Código de Autoregulación para una comunicación responsable en el sector de la perfumería y la cosmética]</w:t>
            </w:r>
          </w:p>
          <w:p w14:paraId="7038E0F2"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w:t>
            </w:r>
            <w:hyperlink r:id="rId126" w:history="1">
              <w:r w:rsidRPr="00431B73">
                <w:rPr>
                  <w:rStyle w:val="Hyperlink"/>
                  <w:rFonts w:cs="Arial"/>
                  <w:lang w:val="es-ES"/>
                </w:rPr>
                <w:t>STANPA, 2015</w:t>
              </w:r>
            </w:hyperlink>
            <w:r w:rsidRPr="00431B73">
              <w:rPr>
                <w:rFonts w:cs="Arial"/>
                <w:lang w:val="es-ES"/>
              </w:rPr>
              <w:t>)</w:t>
            </w:r>
          </w:p>
          <w:p w14:paraId="511AA970"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Ethical Code of Good Commercial Practices for the Promotion of Infant Dietary Products [Código Deontólogico de Buenas Prácticas Comericiales para la Promoción de los Productos Dietéticos Infantiles] (</w:t>
            </w:r>
            <w:hyperlink r:id="rId127" w:history="1">
              <w:r w:rsidRPr="00431B73">
                <w:rPr>
                  <w:rStyle w:val="Hyperlink"/>
                  <w:rFonts w:cs="Arial"/>
                  <w:lang w:val="es-ES"/>
                </w:rPr>
                <w:t>ANDI, 2013 modified in 2014</w:t>
              </w:r>
            </w:hyperlink>
            <w:r w:rsidRPr="00431B73">
              <w:rPr>
                <w:rFonts w:cs="Arial"/>
                <w:lang w:val="es-ES"/>
              </w:rPr>
              <w:t>)</w:t>
            </w:r>
          </w:p>
          <w:p w14:paraId="06E2FB8B"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Code of Conduct on Commercial Communications for Gambling Activities [Código de Códucta sobre Comunicaciones de las Actividades del Juego] (</w:t>
            </w:r>
            <w:hyperlink r:id="rId128" w:history="1">
              <w:r w:rsidRPr="00431B73">
                <w:rPr>
                  <w:rStyle w:val="Hyperlink"/>
                  <w:rFonts w:cs="Arial"/>
                  <w:lang w:val="es-ES"/>
                </w:rPr>
                <w:t>AUTOCONTROL, 2012, modified in 2019</w:t>
              </w:r>
            </w:hyperlink>
            <w:r w:rsidRPr="00431B73">
              <w:rPr>
                <w:rFonts w:cs="Arial"/>
                <w:lang w:val="es-ES"/>
              </w:rPr>
              <w:t>)</w:t>
            </w:r>
          </w:p>
          <w:p w14:paraId="4CD8AC68"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Ethical Code of Good Deontological Standards for the Marketing, Promotion, and Advertising of Over-the-Counter (OTC) Medicines (non-prescription medicines not funded by the national health system) [Código de normas deontológicas para la comercialización, promoción y publicidad de medicamentos de autocuidado de la salud (Medicamentos no sujetos a prescripción y no financiados por el sistema nacional de salud] by the Association for Self-Care of Health (</w:t>
            </w:r>
            <w:hyperlink r:id="rId129" w:history="1">
              <w:r w:rsidRPr="00431B73">
                <w:rPr>
                  <w:rStyle w:val="Hyperlink"/>
                  <w:rFonts w:cs="Arial"/>
                  <w:lang w:val="es-ES"/>
                </w:rPr>
                <w:t>ANEFP, 2007, modified in 2020</w:t>
              </w:r>
            </w:hyperlink>
            <w:r w:rsidRPr="00431B73">
              <w:rPr>
                <w:rFonts w:cs="Arial"/>
                <w:lang w:val="es-ES"/>
              </w:rPr>
              <w:t>)</w:t>
            </w:r>
          </w:p>
          <w:p w14:paraId="2F5AF25D"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Ethical Code of the Spanish Association of Manufacturers and Distributors of Enteral Nutrition Products [Código deontológico de la Asociación Española de Fabricantes y Distribuidores de Productos de Nutrición Enteral] (</w:t>
            </w:r>
            <w:hyperlink r:id="rId130" w:history="1">
              <w:r w:rsidRPr="00431B73">
                <w:rPr>
                  <w:rStyle w:val="Hyperlink"/>
                  <w:rFonts w:cs="Arial"/>
                  <w:lang w:val="es-ES"/>
                </w:rPr>
                <w:t>AENE, 2006, modified in 2020</w:t>
              </w:r>
            </w:hyperlink>
            <w:r w:rsidRPr="00431B73">
              <w:rPr>
                <w:rFonts w:cs="Arial"/>
                <w:lang w:val="es-ES"/>
              </w:rPr>
              <w:t>)</w:t>
            </w:r>
          </w:p>
          <w:p w14:paraId="4F10B8CB"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 xml:space="preserve">Ethical Code of the Healthcare Technology Sector [Código Ético del Sector de la Tecnología Sanitaria] </w:t>
            </w:r>
            <w:hyperlink r:id="rId131" w:history="1">
              <w:r w:rsidRPr="00431B73">
                <w:rPr>
                  <w:rStyle w:val="Hyperlink"/>
                  <w:rFonts w:cs="Arial"/>
                  <w:lang w:val="es-ES"/>
                </w:rPr>
                <w:t>(AUTOCONTROL,  2006, modified in 2022)</w:t>
              </w:r>
            </w:hyperlink>
          </w:p>
          <w:p w14:paraId="4F8E29DF"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 xml:space="preserve">Guidelines for Good Practices in Advertising for Interactive Software Products [Directrices sobre las Buenas Prácticas en la Publicidad de Productos de Software Interactivo] by the Spanish Association of Video </w:t>
            </w:r>
            <w:r w:rsidRPr="00431B73">
              <w:rPr>
                <w:rFonts w:cs="Arial"/>
                <w:lang w:val="es-ES"/>
              </w:rPr>
              <w:lastRenderedPageBreak/>
              <w:t>Games (AEVI)  (</w:t>
            </w:r>
            <w:hyperlink r:id="rId132" w:history="1">
              <w:r w:rsidRPr="00431B73">
                <w:rPr>
                  <w:rStyle w:val="Hyperlink"/>
                  <w:rFonts w:cs="Arial"/>
                  <w:lang w:val="es-ES"/>
                </w:rPr>
                <w:t>Asociación Española de Videojuegos, 2005, modified in 2018</w:t>
              </w:r>
            </w:hyperlink>
            <w:r w:rsidRPr="00431B73">
              <w:rPr>
                <w:rFonts w:cs="Arial"/>
                <w:lang w:val="es-ES"/>
              </w:rPr>
              <w:t>)</w:t>
            </w:r>
          </w:p>
          <w:p w14:paraId="1BE93FF5"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Code of Co-regulation of Advertising for Food and Beverages Targeted at Children, Obesity Prevention, and Health [Código de Corregulación de la publicidad de alimentos y bebidas dirigida a menores, prevención de la obesidad y salud (Código PAOS)] by the Spanish Federation of Food and Beverage Industries (</w:t>
            </w:r>
            <w:hyperlink r:id="rId133" w:history="1">
              <w:r w:rsidRPr="00431B73">
                <w:rPr>
                  <w:rStyle w:val="Hyperlink"/>
                  <w:rFonts w:cs="Arial"/>
                  <w:lang w:val="es-ES"/>
                </w:rPr>
                <w:t>Federación Española de Industrias de Alimentación y Bebidas, 2005 modified in 2012</w:t>
              </w:r>
            </w:hyperlink>
            <w:r w:rsidRPr="00431B73">
              <w:rPr>
                <w:rFonts w:cs="Arial"/>
                <w:lang w:val="es-ES"/>
              </w:rPr>
              <w:t>)</w:t>
            </w:r>
          </w:p>
          <w:p w14:paraId="5E475BB7"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Self-Regulation Code for Advertising of Children's Toys [Código de Autoregulación de la Publicidad Infantil de Juguetes] by the Spanish Toy Manufacturers Association (</w:t>
            </w:r>
            <w:hyperlink r:id="rId134" w:history="1">
              <w:r w:rsidRPr="00431B73">
                <w:rPr>
                  <w:rStyle w:val="Hyperlink"/>
                  <w:rFonts w:cs="Arial"/>
                  <w:lang w:val="es-ES"/>
                </w:rPr>
                <w:t>Asocación Española de Fabricantes de Juguetes  2022</w:t>
              </w:r>
            </w:hyperlink>
            <w:r w:rsidRPr="00431B73">
              <w:rPr>
                <w:rFonts w:cs="Arial"/>
                <w:lang w:val="es-ES"/>
              </w:rPr>
              <w:t xml:space="preserve">) </w:t>
            </w:r>
          </w:p>
          <w:p w14:paraId="729660C8"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Self-Regulation Advertising Code for Spirits in Spain [Código de Autoregulación de Espirituosas España] (</w:t>
            </w:r>
            <w:hyperlink r:id="rId135" w:history="1">
              <w:r w:rsidRPr="00431B73">
                <w:rPr>
                  <w:rStyle w:val="Hyperlink"/>
                  <w:rFonts w:cs="Arial"/>
                  <w:lang w:val="es-ES"/>
                </w:rPr>
                <w:t>Espirituosos España, 2003, modified in 2023</w:t>
              </w:r>
            </w:hyperlink>
            <w:r w:rsidRPr="00431B73">
              <w:rPr>
                <w:rFonts w:cs="Arial"/>
                <w:lang w:val="es-ES"/>
              </w:rPr>
              <w:t>)</w:t>
            </w:r>
          </w:p>
          <w:p w14:paraId="0E0BC8AD"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lang w:val="es-ES"/>
              </w:rPr>
            </w:pPr>
            <w:r w:rsidRPr="00431B73">
              <w:rPr>
                <w:rFonts w:cs="Arial"/>
                <w:lang w:val="es-ES"/>
              </w:rPr>
              <w:t>Self-Regulation Advertising Code for Brewers in Spain [Código de Autorregulación Publicitaria de Cerveceros de España] (</w:t>
            </w:r>
            <w:hyperlink r:id="rId136" w:history="1">
              <w:r w:rsidRPr="00431B73">
                <w:rPr>
                  <w:rStyle w:val="Hyperlink"/>
                  <w:rFonts w:cs="Arial"/>
                  <w:lang w:val="es-ES"/>
                </w:rPr>
                <w:t>CERVECEROS, 2003, modified in 2009</w:t>
              </w:r>
            </w:hyperlink>
            <w:r w:rsidRPr="00431B73">
              <w:rPr>
                <w:rFonts w:cs="Arial"/>
                <w:lang w:val="es-ES"/>
              </w:rPr>
              <w:t>)</w:t>
            </w:r>
          </w:p>
          <w:p w14:paraId="751E5D9A" w14:textId="77777777" w:rsidR="00431B73" w:rsidRPr="00431B73" w:rsidRDefault="00D97AF7" w:rsidP="00431B73">
            <w:pPr>
              <w:spacing w:after="80"/>
              <w:cnfStyle w:val="000000100000" w:firstRow="0" w:lastRow="0" w:firstColumn="0" w:lastColumn="0" w:oddVBand="0" w:evenVBand="0" w:oddHBand="1" w:evenHBand="0" w:firstRowFirstColumn="0" w:firstRowLastColumn="0" w:lastRowFirstColumn="0" w:lastRowLastColumn="0"/>
              <w:rPr>
                <w:rFonts w:cs="Arial"/>
              </w:rPr>
            </w:pPr>
            <w:r w:rsidRPr="00431B73">
              <w:rPr>
                <w:rFonts w:cs="Arial"/>
              </w:rPr>
              <w:t>Code of Good Practices of the Pharmaceutical Industry [Código de Buenas Prácticas de la Industria Farmacéutica] (</w:t>
            </w:r>
            <w:hyperlink r:id="rId137" w:history="1">
              <w:r w:rsidRPr="00431B73">
                <w:rPr>
                  <w:rStyle w:val="Hyperlink"/>
                  <w:rFonts w:cs="Arial"/>
                </w:rPr>
                <w:t>Farmaindustria, 2002, modified in 2021</w:t>
              </w:r>
            </w:hyperlink>
            <w:r w:rsidRPr="00431B73">
              <w:rPr>
                <w:rFonts w:cs="Arial"/>
              </w:rPr>
              <w:t>)</w:t>
            </w:r>
          </w:p>
        </w:tc>
      </w:tr>
      <w:tr w:rsidR="000F492D" w14:paraId="05F442D4"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110B1625"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lastRenderedPageBreak/>
              <w:t>5.12</w:t>
            </w:r>
          </w:p>
        </w:tc>
        <w:tc>
          <w:tcPr>
            <w:tcW w:w="2192" w:type="dxa"/>
          </w:tcPr>
          <w:p w14:paraId="715D368C" w14:textId="77777777" w:rsidR="00431B73" w:rsidRDefault="00D97AF7" w:rsidP="00431B73">
            <w:pPr>
              <w:pStyle w:val="Subjectcolumntext"/>
              <w:cnfStyle w:val="000000000000" w:firstRow="0" w:lastRow="0" w:firstColumn="0" w:lastColumn="0" w:oddVBand="0" w:evenVBand="0" w:oddHBand="0" w:evenHBand="0" w:firstRowFirstColumn="0" w:firstRowLastColumn="0" w:lastRowFirstColumn="0" w:lastRowLastColumn="0"/>
            </w:pPr>
            <w:r>
              <w:t>Are there o</w:t>
            </w:r>
            <w:r w:rsidRPr="005E40F5">
              <w:t>ther SROs affecting marketing com</w:t>
            </w:r>
            <w:r>
              <w:t>munications</w:t>
            </w:r>
            <w:r w:rsidRPr="005E40F5">
              <w:t>?</w:t>
            </w:r>
          </w:p>
        </w:tc>
        <w:tc>
          <w:tcPr>
            <w:tcW w:w="2119" w:type="dxa"/>
          </w:tcPr>
          <w:p w14:paraId="2002800A" w14:textId="77777777" w:rsidR="00431B73" w:rsidRDefault="00D97AF7" w:rsidP="00431B73">
            <w:pPr>
              <w:pStyle w:val="Classificationcolumntext"/>
              <w:cnfStyle w:val="000000000000" w:firstRow="0" w:lastRow="0" w:firstColumn="0" w:lastColumn="0" w:oddVBand="0" w:evenVBand="0" w:oddHBand="0" w:evenHBand="0" w:firstRowFirstColumn="0" w:firstRowLastColumn="0" w:lastRowFirstColumn="0" w:lastRowLastColumn="0"/>
            </w:pPr>
            <w:r>
              <w:t>No</w:t>
            </w:r>
          </w:p>
        </w:tc>
        <w:tc>
          <w:tcPr>
            <w:tcW w:w="5616" w:type="dxa"/>
          </w:tcPr>
          <w:p w14:paraId="1AF6B7C2" w14:textId="77777777" w:rsidR="00431B73" w:rsidRPr="0016559B" w:rsidRDefault="00431B73" w:rsidP="00431B73">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0F492D" w14:paraId="6C03CF8E"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06B47F15"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t>5.13</w:t>
            </w:r>
          </w:p>
        </w:tc>
        <w:tc>
          <w:tcPr>
            <w:tcW w:w="2192" w:type="dxa"/>
          </w:tcPr>
          <w:p w14:paraId="557C07B8" w14:textId="77777777" w:rsidR="00431B73" w:rsidRDefault="00D97AF7" w:rsidP="00431B73">
            <w:pPr>
              <w:pStyle w:val="Subjectcolumntext"/>
              <w:cnfStyle w:val="000000100000" w:firstRow="0" w:lastRow="0" w:firstColumn="0" w:lastColumn="0" w:oddVBand="0" w:evenVBand="0" w:oddHBand="1" w:evenHBand="0" w:firstRowFirstColumn="0" w:firstRowLastColumn="0" w:lastRowFirstColumn="0" w:lastRowLastColumn="0"/>
            </w:pPr>
            <w:r w:rsidRPr="006A2D6F">
              <w:t>Are any other SROs (5.</w:t>
            </w:r>
            <w:r>
              <w:t>12</w:t>
            </w:r>
            <w:r w:rsidRPr="006A2D6F">
              <w:t>) members of supranat</w:t>
            </w:r>
            <w:r>
              <w:t xml:space="preserve">ional </w:t>
            </w:r>
            <w:r w:rsidRPr="006A2D6F">
              <w:t>associations?</w:t>
            </w:r>
          </w:p>
        </w:tc>
        <w:tc>
          <w:tcPr>
            <w:tcW w:w="2119" w:type="dxa"/>
          </w:tcPr>
          <w:p w14:paraId="1240F570" w14:textId="77777777" w:rsidR="00431B73" w:rsidRDefault="00431B73" w:rsidP="00431B7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61148A20" w14:textId="25C27770" w:rsidR="00431B73" w:rsidRPr="0016559B" w:rsidRDefault="00FE59E4" w:rsidP="00431B73">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Pr>
                <w:rFonts w:cs="Arial"/>
              </w:rPr>
              <w:t>N/A</w:t>
            </w:r>
          </w:p>
        </w:tc>
      </w:tr>
      <w:tr w:rsidR="000F492D" w14:paraId="7EF5DC78"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93E63EF"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t>5.14</w:t>
            </w:r>
          </w:p>
        </w:tc>
        <w:tc>
          <w:tcPr>
            <w:tcW w:w="2192" w:type="dxa"/>
          </w:tcPr>
          <w:p w14:paraId="198CB0A7" w14:textId="77777777" w:rsidR="00431B73" w:rsidRDefault="00D97AF7" w:rsidP="00431B73">
            <w:pPr>
              <w:pStyle w:val="Subjectcolumntext"/>
              <w:cnfStyle w:val="000000000000" w:firstRow="0" w:lastRow="0" w:firstColumn="0" w:lastColumn="0" w:oddVBand="0" w:evenVBand="0" w:oddHBand="0" w:evenHBand="0" w:firstRowFirstColumn="0" w:firstRowLastColumn="0" w:lastRowFirstColumn="0" w:lastRowLastColumn="0"/>
            </w:pPr>
            <w:r w:rsidRPr="00794344">
              <w:t>What enforcement powers/ sanctions do these other SROs have and how are these applied?</w:t>
            </w:r>
          </w:p>
        </w:tc>
        <w:tc>
          <w:tcPr>
            <w:tcW w:w="2119" w:type="dxa"/>
          </w:tcPr>
          <w:p w14:paraId="4561AE91" w14:textId="77777777" w:rsidR="00431B73" w:rsidRDefault="00431B73" w:rsidP="00431B7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4F72B77B" w14:textId="33D65BA9" w:rsidR="00431B73" w:rsidRPr="0016559B" w:rsidRDefault="00FE59E4" w:rsidP="00431B73">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Pr>
                <w:rFonts w:cs="Arial"/>
              </w:rPr>
              <w:t>N/A</w:t>
            </w:r>
          </w:p>
        </w:tc>
      </w:tr>
      <w:tr w:rsidR="000F492D" w14:paraId="7DDDB81A"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3917F249"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t>5.15</w:t>
            </w:r>
          </w:p>
        </w:tc>
        <w:tc>
          <w:tcPr>
            <w:tcW w:w="2192" w:type="dxa"/>
          </w:tcPr>
          <w:p w14:paraId="66B6BCC0" w14:textId="77777777" w:rsidR="00431B73" w:rsidRPr="00794344" w:rsidRDefault="00D97AF7" w:rsidP="00431B73">
            <w:pPr>
              <w:pStyle w:val="Subjectcolumntext"/>
              <w:cnfStyle w:val="000000100000" w:firstRow="0" w:lastRow="0" w:firstColumn="0" w:lastColumn="0" w:oddVBand="0" w:evenVBand="0" w:oddHBand="1" w:evenHBand="0" w:firstRowFirstColumn="0" w:firstRowLastColumn="0" w:lastRowFirstColumn="0" w:lastRowLastColumn="0"/>
            </w:pPr>
            <w:r>
              <w:t xml:space="preserve">What Industry Regulatory Organisations IROs have codes (or formal guidance) concerning </w:t>
            </w:r>
            <w:r>
              <w:lastRenderedPageBreak/>
              <w:t>marketing communications</w:t>
            </w:r>
          </w:p>
        </w:tc>
        <w:tc>
          <w:tcPr>
            <w:tcW w:w="2119" w:type="dxa"/>
          </w:tcPr>
          <w:p w14:paraId="0B73F09D" w14:textId="77777777" w:rsidR="00431B73" w:rsidRDefault="00431B73" w:rsidP="00431B7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79E268DC" w14:textId="77777777" w:rsidR="00431B73" w:rsidRPr="00E05109" w:rsidRDefault="00D97AF7" w:rsidP="009E5AE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E05109">
              <w:rPr>
                <w:color w:val="000000" w:themeColor="text1"/>
              </w:rPr>
              <w:t xml:space="preserve">IAB Spain is an IRO (industry regulatory organisation) that is part of the Internet Advertising Bureau (Interactive Advertising Bureau in the US and other markets), a major association of digital communication, advertising and marketing companies. IAB Spain has issued several guides on this matter, such as Marketing by Influencers, </w:t>
            </w:r>
            <w:r w:rsidRPr="00E05109">
              <w:rPr>
                <w:color w:val="000000" w:themeColor="text1"/>
              </w:rPr>
              <w:lastRenderedPageBreak/>
              <w:t>The Basic Guide to Online Advertising, The Branded Content Guide and The Guide to Influencer Kids.</w:t>
            </w:r>
          </w:p>
        </w:tc>
      </w:tr>
      <w:tr w:rsidR="000F492D" w14:paraId="330CABD9"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3DECCB23"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lastRenderedPageBreak/>
              <w:t>5.16</w:t>
            </w:r>
          </w:p>
        </w:tc>
        <w:tc>
          <w:tcPr>
            <w:tcW w:w="2192" w:type="dxa"/>
          </w:tcPr>
          <w:p w14:paraId="4039C3C6" w14:textId="77777777" w:rsidR="00431B73" w:rsidRPr="00794344" w:rsidRDefault="00D97AF7" w:rsidP="00431B73">
            <w:pPr>
              <w:pStyle w:val="Subjectcolumntext"/>
              <w:cnfStyle w:val="000000000000" w:firstRow="0" w:lastRow="0" w:firstColumn="0" w:lastColumn="0" w:oddVBand="0" w:evenVBand="0" w:oddHBand="0" w:evenHBand="0" w:firstRowFirstColumn="0" w:firstRowLastColumn="0" w:lastRowFirstColumn="0" w:lastRowLastColumn="0"/>
            </w:pPr>
            <w:r w:rsidRPr="00D84FB9">
              <w:t>Does the SRO system have an enforcement or dispute resolution mechanism?</w:t>
            </w:r>
          </w:p>
        </w:tc>
        <w:tc>
          <w:tcPr>
            <w:tcW w:w="2119" w:type="dxa"/>
          </w:tcPr>
          <w:p w14:paraId="03185667" w14:textId="77777777" w:rsidR="00431B73" w:rsidRDefault="00D97AF7" w:rsidP="00431B73">
            <w:pPr>
              <w:pStyle w:val="Classificationcolumntext"/>
              <w:cnfStyle w:val="000000000000" w:firstRow="0" w:lastRow="0" w:firstColumn="0" w:lastColumn="0" w:oddVBand="0" w:evenVBand="0" w:oddHBand="0" w:evenHBand="0" w:firstRowFirstColumn="0" w:firstRowLastColumn="0" w:lastRowFirstColumn="0" w:lastRowLastColumn="0"/>
            </w:pPr>
            <w:r>
              <w:t>Yes</w:t>
            </w:r>
          </w:p>
        </w:tc>
        <w:tc>
          <w:tcPr>
            <w:tcW w:w="5616" w:type="dxa"/>
          </w:tcPr>
          <w:p w14:paraId="57B76E3B" w14:textId="42780FC2" w:rsidR="00431B73" w:rsidRPr="00054063" w:rsidRDefault="00D97AF7" w:rsidP="000F2F0F">
            <w:pPr>
              <w:cnfStyle w:val="000000000000" w:firstRow="0" w:lastRow="0" w:firstColumn="0" w:lastColumn="0" w:oddVBand="0" w:evenVBand="0" w:oddHBand="0" w:evenHBand="0" w:firstRowFirstColumn="0" w:firstRowLastColumn="0" w:lastRowFirstColumn="0" w:lastRowLastColumn="0"/>
              <w:rPr>
                <w:color w:val="FF0000"/>
              </w:rPr>
            </w:pPr>
            <w:r w:rsidRPr="5C99EEFA">
              <w:t xml:space="preserve">Autocontrol’s out-of-court dispute settlement system is the only private Spanish mechanism that has been incorporated by the European Commission into the European Consumer Centres Network (ECC Net) (formerly European Extra-Judicial Network (EEJ Net) </w:t>
            </w:r>
            <w:hyperlink r:id="rId138" w:history="1">
              <w:r w:rsidRPr="002C26FA">
                <w:rPr>
                  <w:rFonts w:asciiTheme="minorHAnsi" w:hAnsiTheme="minorHAnsi" w:cstheme="minorHAnsi"/>
                  <w:u w:val="single"/>
                </w:rPr>
                <w:t>RED JUDICIAL EUROPEA - Asuntos transfronterizos&lt;br /&gt;más fáciles (europa.eu)</w:t>
              </w:r>
            </w:hyperlink>
            <w:r w:rsidRPr="5C99EEFA">
              <w:t xml:space="preserve">. </w:t>
            </w:r>
            <w:r w:rsidRPr="00054063">
              <w:rPr>
                <w:color w:val="000000" w:themeColor="text1"/>
              </w:rPr>
              <w:t xml:space="preserve">The European Extrajudicial Network (EEJ-Net) is a project of the European Commission that brings together the European Consumer </w:t>
            </w:r>
            <w:r w:rsidR="00033191" w:rsidRPr="00054063">
              <w:rPr>
                <w:color w:val="000000" w:themeColor="text1"/>
              </w:rPr>
              <w:t>Centres</w:t>
            </w:r>
            <w:r w:rsidRPr="00054063">
              <w:rPr>
                <w:color w:val="000000" w:themeColor="text1"/>
              </w:rPr>
              <w:t xml:space="preserve"> of the EU Member States, as well as Iceland and Norway. These non-profit </w:t>
            </w:r>
            <w:r w:rsidR="00033191" w:rsidRPr="00054063">
              <w:rPr>
                <w:color w:val="000000" w:themeColor="text1"/>
              </w:rPr>
              <w:t>centres</w:t>
            </w:r>
            <w:r w:rsidRPr="00054063">
              <w:rPr>
                <w:color w:val="000000" w:themeColor="text1"/>
              </w:rPr>
              <w:t xml:space="preserve"> empower consumers by helping them know what their rights and opportunities are within the European Single Market. </w:t>
            </w:r>
            <w:hyperlink r:id="rId139" w:history="1">
              <w:r w:rsidRPr="008E4151">
                <w:rPr>
                  <w:rStyle w:val="Hyperlink"/>
                  <w:color w:val="345964" w:themeColor="hyperlink" w:themeShade="BF"/>
                </w:rPr>
                <w:t>CEC-España</w:t>
              </w:r>
            </w:hyperlink>
            <w:r>
              <w:rPr>
                <w:rStyle w:val="Hyperlink"/>
                <w:color w:val="345964" w:themeColor="hyperlink" w:themeShade="BF"/>
              </w:rPr>
              <w:t xml:space="preserve">. </w:t>
            </w:r>
            <w:r w:rsidRPr="5C99EEFA">
              <w:t xml:space="preserve">This extrajudicial dispute resolution body relies on three key instruments: an Advertising Code of Conduct; the Jury, in charge of applying the aforementioned code; and a set of regulations governing the operations of the Jury. The Jury is the independent out-of-court body in charge of adjudicating on complaints submitted on advertising issues. Its decisions are binding on Autocontrol‘s members. The procedural rules governing the Jury‘s adjudication activity </w:t>
            </w:r>
            <w:r>
              <w:t>and a</w:t>
            </w:r>
            <w:r w:rsidRPr="5C99EEFA">
              <w:t xml:space="preserve">ll the Jury‘s decisions are published in Autocontrol‘s monthly newsletter and on its website. </w:t>
            </w:r>
          </w:p>
        </w:tc>
      </w:tr>
      <w:tr w:rsidR="000F492D" w14:paraId="29682882"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08296938"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t>5.17</w:t>
            </w:r>
          </w:p>
        </w:tc>
        <w:tc>
          <w:tcPr>
            <w:tcW w:w="2192" w:type="dxa"/>
          </w:tcPr>
          <w:p w14:paraId="37B64477" w14:textId="77777777" w:rsidR="00431B73" w:rsidRPr="00794344" w:rsidRDefault="00D97AF7" w:rsidP="00431B73">
            <w:pPr>
              <w:pStyle w:val="Subjectcolumntext"/>
              <w:cnfStyle w:val="000000100000" w:firstRow="0" w:lastRow="0" w:firstColumn="0" w:lastColumn="0" w:oddVBand="0" w:evenVBand="0" w:oddHBand="1" w:evenHBand="0" w:firstRowFirstColumn="0" w:firstRowLastColumn="0" w:lastRowFirstColumn="0" w:lastRowLastColumn="0"/>
            </w:pPr>
            <w:r>
              <w:t>Are juries</w:t>
            </w:r>
            <w:r>
              <w:br/>
              <w:t>/adjudicators independent from the advertising sector?</w:t>
            </w:r>
          </w:p>
        </w:tc>
        <w:tc>
          <w:tcPr>
            <w:tcW w:w="2119" w:type="dxa"/>
          </w:tcPr>
          <w:p w14:paraId="666D48C5" w14:textId="77777777" w:rsidR="00431B73" w:rsidRDefault="00D97AF7" w:rsidP="00431B73">
            <w:pPr>
              <w:pStyle w:val="Classificationcolumntext"/>
              <w:cnfStyle w:val="000000100000" w:firstRow="0" w:lastRow="0" w:firstColumn="0" w:lastColumn="0" w:oddVBand="0" w:evenVBand="0" w:oddHBand="1" w:evenHBand="0" w:firstRowFirstColumn="0" w:firstRowLastColumn="0" w:lastRowFirstColumn="0" w:lastRowLastColumn="0"/>
            </w:pPr>
            <w:r>
              <w:t>Mixed</w:t>
            </w:r>
          </w:p>
        </w:tc>
        <w:tc>
          <w:tcPr>
            <w:tcW w:w="5616" w:type="dxa"/>
          </w:tcPr>
          <w:p w14:paraId="098D889C" w14:textId="37451181" w:rsidR="00431B73" w:rsidRPr="00751144" w:rsidRDefault="00D97AF7" w:rsidP="00431B73">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Partly independent. </w:t>
            </w:r>
            <w:r w:rsidRPr="00751144">
              <w:rPr>
                <w:color w:val="000000" w:themeColor="text1"/>
              </w:rPr>
              <w:t>The Jury is the body in charge of resolving complaints received concerning commercial communications. It is considered an independent body because 25% of its members are appointed by the General Directorate of Consumer Affairs (Spanish Public Administration) and the rest are appointed by the Board of Directors of A</w:t>
            </w:r>
            <w:r>
              <w:rPr>
                <w:color w:val="000000" w:themeColor="text1"/>
              </w:rPr>
              <w:t>utocontrol</w:t>
            </w:r>
            <w:r w:rsidRPr="00751144">
              <w:rPr>
                <w:color w:val="000000" w:themeColor="text1"/>
              </w:rPr>
              <w:t xml:space="preserve"> from among independent experts from the fields of legal, communication and advertising</w:t>
            </w:r>
            <w:r w:rsidR="00033191">
              <w:rPr>
                <w:color w:val="000000" w:themeColor="text1"/>
              </w:rPr>
              <w:t>,</w:t>
            </w:r>
            <w:r w:rsidRPr="00751144">
              <w:rPr>
                <w:color w:val="000000" w:themeColor="text1"/>
              </w:rPr>
              <w:t xml:space="preserve"> and by consumer associations. None of them may have an employment relationship with the members of A</w:t>
            </w:r>
            <w:r>
              <w:rPr>
                <w:color w:val="000000" w:themeColor="text1"/>
              </w:rPr>
              <w:t>utocontrol</w:t>
            </w:r>
            <w:r w:rsidRPr="00751144">
              <w:rPr>
                <w:color w:val="000000" w:themeColor="text1"/>
              </w:rPr>
              <w:t xml:space="preserve"> to guarantee their independence, even if some of them are related to the advertising sector.</w:t>
            </w:r>
          </w:p>
          <w:p w14:paraId="15BE7063" w14:textId="77777777" w:rsidR="00431B73" w:rsidRDefault="00D97AF7" w:rsidP="00431B73">
            <w:pPr>
              <w:cnfStyle w:val="000000100000" w:firstRow="0" w:lastRow="0" w:firstColumn="0" w:lastColumn="0" w:oddVBand="0" w:evenVBand="0" w:oddHBand="1" w:evenHBand="0" w:firstRowFirstColumn="0" w:firstRowLastColumn="0" w:lastRowFirstColumn="0" w:lastRowLastColumn="0"/>
              <w:rPr>
                <w:color w:val="000000" w:themeColor="text1"/>
              </w:rPr>
            </w:pPr>
            <w:r w:rsidRPr="00751144">
              <w:rPr>
                <w:color w:val="000000" w:themeColor="text1"/>
              </w:rPr>
              <w:t>It is made up of a President, six Vice-Presidents and twenty members, who may act in plenary sessions or in sections. Its operation is governed by the provisions of the Jury Regulations.</w:t>
            </w:r>
          </w:p>
          <w:p w14:paraId="45EA43C8" w14:textId="77777777" w:rsidR="00431B73" w:rsidRPr="00751144" w:rsidRDefault="00431B73" w:rsidP="00431B73">
            <w:pPr>
              <w:cnfStyle w:val="000000100000" w:firstRow="0" w:lastRow="0" w:firstColumn="0" w:lastColumn="0" w:oddVBand="0" w:evenVBand="0" w:oddHBand="1" w:evenHBand="0" w:firstRowFirstColumn="0" w:firstRowLastColumn="0" w:lastRowFirstColumn="0" w:lastRowLastColumn="0"/>
              <w:rPr>
                <w:color w:val="000000" w:themeColor="text1"/>
              </w:rPr>
            </w:pPr>
          </w:p>
          <w:p w14:paraId="473723E0" w14:textId="77777777" w:rsidR="00431B73" w:rsidRPr="00751144" w:rsidRDefault="00D97AF7" w:rsidP="00431B73">
            <w:pPr>
              <w:cnfStyle w:val="000000100000" w:firstRow="0" w:lastRow="0" w:firstColumn="0" w:lastColumn="0" w:oddVBand="0" w:evenVBand="0" w:oddHBand="1" w:evenHBand="0" w:firstRowFirstColumn="0" w:firstRowLastColumn="0" w:lastRowFirstColumn="0" w:lastRowLastColumn="0"/>
              <w:rPr>
                <w:color w:val="BF4E14" w:themeColor="accent2" w:themeShade="BF"/>
              </w:rPr>
            </w:pPr>
            <w:r w:rsidRPr="00751144">
              <w:rPr>
                <w:color w:val="000000" w:themeColor="text1"/>
              </w:rPr>
              <w:t>The A</w:t>
            </w:r>
            <w:r>
              <w:rPr>
                <w:color w:val="000000" w:themeColor="text1"/>
              </w:rPr>
              <w:t>utocontrol</w:t>
            </w:r>
            <w:r w:rsidRPr="00751144">
              <w:rPr>
                <w:color w:val="000000" w:themeColor="text1"/>
              </w:rPr>
              <w:t xml:space="preserve"> Advertising Jury </w:t>
            </w:r>
            <w:r w:rsidR="00741098">
              <w:rPr>
                <w:color w:val="000000" w:themeColor="text1"/>
              </w:rPr>
              <w:t xml:space="preserve">was </w:t>
            </w:r>
            <w:r w:rsidRPr="00751144">
              <w:rPr>
                <w:color w:val="000000" w:themeColor="text1"/>
              </w:rPr>
              <w:t xml:space="preserve">the first private entity accredited as an alternative dispute resolution entity by the Government of Spain and is part of the unified list of accredited entities of the European </w:t>
            </w:r>
            <w:r w:rsidRPr="00751144">
              <w:rPr>
                <w:color w:val="000000" w:themeColor="text1"/>
              </w:rPr>
              <w:lastRenderedPageBreak/>
              <w:t>Commission and the online dispute resolution platform established by the European Union.</w:t>
            </w:r>
          </w:p>
        </w:tc>
      </w:tr>
      <w:tr w:rsidR="000F492D" w14:paraId="25D41112"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1BE6DECB"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lastRenderedPageBreak/>
              <w:t>5.18</w:t>
            </w:r>
          </w:p>
        </w:tc>
        <w:tc>
          <w:tcPr>
            <w:tcW w:w="2192" w:type="dxa"/>
          </w:tcPr>
          <w:p w14:paraId="02FDC3E1" w14:textId="77777777" w:rsidR="00431B73" w:rsidRPr="00794344" w:rsidRDefault="00D97AF7" w:rsidP="00431B73">
            <w:pPr>
              <w:pStyle w:val="Subjectcolumntext"/>
              <w:cnfStyle w:val="000000000000" w:firstRow="0" w:lastRow="0" w:firstColumn="0" w:lastColumn="0" w:oddVBand="0" w:evenVBand="0" w:oddHBand="0" w:evenHBand="0" w:firstRowFirstColumn="0" w:firstRowLastColumn="0" w:lastRowFirstColumn="0" w:lastRowLastColumn="0"/>
            </w:pPr>
            <w:r w:rsidRPr="004E0D7E">
              <w:t>How does enforcement/dispute resolution work?</w:t>
            </w:r>
          </w:p>
        </w:tc>
        <w:tc>
          <w:tcPr>
            <w:tcW w:w="2119" w:type="dxa"/>
          </w:tcPr>
          <w:p w14:paraId="5C502FB5" w14:textId="77777777" w:rsidR="00431B73" w:rsidRDefault="00431B73" w:rsidP="00431B7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0B43099A" w14:textId="77777777" w:rsidR="00431B73" w:rsidRPr="0016559B" w:rsidRDefault="00D97AF7" w:rsidP="00554A58">
            <w:pPr>
              <w:cnfStyle w:val="000000000000" w:firstRow="0" w:lastRow="0" w:firstColumn="0" w:lastColumn="0" w:oddVBand="0" w:evenVBand="0" w:oddHBand="0" w:evenHBand="0" w:firstRowFirstColumn="0" w:firstRowLastColumn="0" w:lastRowFirstColumn="0" w:lastRowLastColumn="0"/>
              <w:rPr>
                <w:rFonts w:cs="Arial"/>
              </w:rPr>
            </w:pPr>
            <w:r>
              <w:t>The Autocontrol Advertising Jury is responsible for resolving any claims of infringement of the ethical rules contained in the code. Its resolutions are made public.</w:t>
            </w:r>
          </w:p>
        </w:tc>
      </w:tr>
      <w:tr w:rsidR="000F492D" w14:paraId="01F6F931"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539F94E3"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t>5.19</w:t>
            </w:r>
          </w:p>
        </w:tc>
        <w:tc>
          <w:tcPr>
            <w:tcW w:w="2192" w:type="dxa"/>
          </w:tcPr>
          <w:p w14:paraId="2C1FAEE5" w14:textId="77777777" w:rsidR="00431B73" w:rsidRPr="00794344" w:rsidRDefault="00D97AF7" w:rsidP="00431B73">
            <w:pPr>
              <w:pStyle w:val="Subjectcolumntext"/>
              <w:cnfStyle w:val="000000100000" w:firstRow="0" w:lastRow="0" w:firstColumn="0" w:lastColumn="0" w:oddVBand="0" w:evenVBand="0" w:oddHBand="1" w:evenHBand="0" w:firstRowFirstColumn="0" w:firstRowLastColumn="0" w:lastRowFirstColumn="0" w:lastRowLastColumn="0"/>
            </w:pPr>
            <w:r w:rsidRPr="006D6FCB">
              <w:t>Are the SRO decisions reported?</w:t>
            </w:r>
          </w:p>
        </w:tc>
        <w:tc>
          <w:tcPr>
            <w:tcW w:w="2119" w:type="dxa"/>
          </w:tcPr>
          <w:p w14:paraId="56854648" w14:textId="77777777" w:rsidR="00431B73" w:rsidRDefault="00D97AF7" w:rsidP="00431B73">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6" w:type="dxa"/>
          </w:tcPr>
          <w:p w14:paraId="51E60FBF" w14:textId="77777777" w:rsidR="00431B73" w:rsidRPr="0016559B" w:rsidRDefault="00D97AF7" w:rsidP="00554A58">
            <w:pPr>
              <w:cnfStyle w:val="000000100000" w:firstRow="0" w:lastRow="0" w:firstColumn="0" w:lastColumn="0" w:oddVBand="0" w:evenVBand="0" w:oddHBand="1" w:evenHBand="0" w:firstRowFirstColumn="0" w:firstRowLastColumn="0" w:lastRowFirstColumn="0" w:lastRowLastColumn="0"/>
              <w:rPr>
                <w:rFonts w:cs="Arial"/>
              </w:rPr>
            </w:pPr>
            <w:r>
              <w:t xml:space="preserve">Each decision by the Jury is published in Autocontrol’s monthly newsletter, on its website, or through other means of communication by Autocontrol.   </w:t>
            </w:r>
          </w:p>
        </w:tc>
      </w:tr>
      <w:tr w:rsidR="000F492D" w14:paraId="50326D83"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7AC2885E"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t>5.20</w:t>
            </w:r>
          </w:p>
        </w:tc>
        <w:tc>
          <w:tcPr>
            <w:tcW w:w="2192" w:type="dxa"/>
          </w:tcPr>
          <w:p w14:paraId="13F66781" w14:textId="77777777" w:rsidR="00431B73" w:rsidRPr="00794344" w:rsidRDefault="00D97AF7" w:rsidP="00431B73">
            <w:pPr>
              <w:pStyle w:val="Subjectcolumntext"/>
              <w:cnfStyle w:val="000000000000" w:firstRow="0" w:lastRow="0" w:firstColumn="0" w:lastColumn="0" w:oddVBand="0" w:evenVBand="0" w:oddHBand="0" w:evenHBand="0" w:firstRowFirstColumn="0" w:firstRowLastColumn="0" w:lastRowFirstColumn="0" w:lastRowLastColumn="0"/>
            </w:pPr>
            <w:r w:rsidRPr="0018415B">
              <w:t>Is the self-regulation system widely used and followed?</w:t>
            </w:r>
          </w:p>
        </w:tc>
        <w:tc>
          <w:tcPr>
            <w:tcW w:w="2119" w:type="dxa"/>
          </w:tcPr>
          <w:p w14:paraId="6EED72E3" w14:textId="77777777" w:rsidR="00431B73" w:rsidRDefault="00431B73" w:rsidP="00431B7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265D630E" w14:textId="0725F21B" w:rsidR="00431B73" w:rsidRPr="00416C8C" w:rsidRDefault="00D97AF7" w:rsidP="00431B73">
            <w:pPr>
              <w:cnfStyle w:val="000000000000" w:firstRow="0" w:lastRow="0" w:firstColumn="0" w:lastColumn="0" w:oddVBand="0" w:evenVBand="0" w:oddHBand="0" w:evenHBand="0" w:firstRowFirstColumn="0" w:firstRowLastColumn="0" w:lastRowFirstColumn="0" w:lastRowLastColumn="0"/>
              <w:rPr>
                <w:color w:val="000000" w:themeColor="text1"/>
              </w:rPr>
            </w:pPr>
            <w:r w:rsidRPr="00416C8C">
              <w:rPr>
                <w:color w:val="000000" w:themeColor="text1"/>
              </w:rPr>
              <w:t>Between July 1996 and January 2020, Autocontrol handled over 4,681 cases. Around 33% of these cases were resolved through mediation or acceptance of the dispute within five days. All complaints are resolved quickly (in around 14 days) when compared with the average duration of cases passing through the courts (which is around one year).  In 2017, around 68% of all complaints received by Autocontrol were submitted by consumers and consumer organizations</w:t>
            </w:r>
            <w:r w:rsidR="00586212">
              <w:rPr>
                <w:color w:val="000000" w:themeColor="text1"/>
              </w:rPr>
              <w:t>,</w:t>
            </w:r>
            <w:r w:rsidRPr="00416C8C">
              <w:rPr>
                <w:color w:val="000000" w:themeColor="text1"/>
              </w:rPr>
              <w:t xml:space="preserve"> and 18.5% were intra-industry complaints. The rest were complaints submitted by Spanish statutory authorities.  </w:t>
            </w:r>
          </w:p>
          <w:p w14:paraId="67ADDBD6" w14:textId="77777777" w:rsidR="00431B73" w:rsidRDefault="00431B73" w:rsidP="00431B73">
            <w:pPr>
              <w:cnfStyle w:val="000000000000" w:firstRow="0" w:lastRow="0" w:firstColumn="0" w:lastColumn="0" w:oddVBand="0" w:evenVBand="0" w:oddHBand="0" w:evenHBand="0" w:firstRowFirstColumn="0" w:firstRowLastColumn="0" w:lastRowFirstColumn="0" w:lastRowLastColumn="0"/>
              <w:rPr>
                <w:color w:val="000000" w:themeColor="text1"/>
              </w:rPr>
            </w:pPr>
          </w:p>
          <w:p w14:paraId="13D79316" w14:textId="77777777" w:rsidR="00431B73" w:rsidRPr="0016559B" w:rsidRDefault="00D97AF7" w:rsidP="00431B73">
            <w:pPr>
              <w:cnfStyle w:val="000000000000" w:firstRow="0" w:lastRow="0" w:firstColumn="0" w:lastColumn="0" w:oddVBand="0" w:evenVBand="0" w:oddHBand="0" w:evenHBand="0" w:firstRowFirstColumn="0" w:firstRowLastColumn="0" w:lastRowFirstColumn="0" w:lastRowLastColumn="0"/>
              <w:rPr>
                <w:rFonts w:cs="Arial"/>
              </w:rPr>
            </w:pPr>
            <w:r w:rsidRPr="00416C8C">
              <w:rPr>
                <w:color w:val="000000" w:themeColor="text1"/>
              </w:rPr>
              <w:t>In 2018, the Data Protection Mediation Unit was launched in collaboration with the Spanish Data Protection Agency. Between 2018 and 2020, the Unit responded to more than 900 mediation requests and more than 5,000 consultations. The latest data (2020) from this service show that more than 73% of the mediations that met the requirements to be admitted were resolved satisfactorily for the user and the company in a period of less than 20 days, therefore making it unnecessary to go to other claim instances</w:t>
            </w:r>
            <w:r>
              <w:rPr>
                <w:color w:val="000000" w:themeColor="text1"/>
              </w:rPr>
              <w:t xml:space="preserve"> (Autocontrol 2020).</w:t>
            </w:r>
          </w:p>
        </w:tc>
      </w:tr>
      <w:tr w:rsidR="000F492D" w14:paraId="7E06D6E3"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39A00F1C"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t>5.21</w:t>
            </w:r>
          </w:p>
        </w:tc>
        <w:tc>
          <w:tcPr>
            <w:tcW w:w="2192" w:type="dxa"/>
          </w:tcPr>
          <w:p w14:paraId="4C707AD1" w14:textId="77777777" w:rsidR="00431B73" w:rsidRDefault="00D97AF7" w:rsidP="00431B73">
            <w:pPr>
              <w:pStyle w:val="Subjectcolumntext"/>
              <w:cnfStyle w:val="000000100000" w:firstRow="0" w:lastRow="0" w:firstColumn="0" w:lastColumn="0" w:oddVBand="0" w:evenVBand="0" w:oddHBand="1" w:evenHBand="0" w:firstRowFirstColumn="0" w:firstRowLastColumn="0" w:lastRowFirstColumn="0" w:lastRowLastColumn="0"/>
            </w:pPr>
            <w:r>
              <w:t>What is the evidence of (non)/compliance with adjudications/ decisions?</w:t>
            </w:r>
          </w:p>
          <w:p w14:paraId="12246F02" w14:textId="77777777" w:rsidR="00431B73" w:rsidRPr="00794344" w:rsidRDefault="00D97AF7" w:rsidP="00431B73">
            <w:pPr>
              <w:pStyle w:val="Subjectcolumntext"/>
              <w:cnfStyle w:val="000000100000" w:firstRow="0" w:lastRow="0" w:firstColumn="0" w:lastColumn="0" w:oddVBand="0" w:evenVBand="0" w:oddHBand="1" w:evenHBand="0" w:firstRowFirstColumn="0" w:firstRowLastColumn="0" w:lastRowFirstColumn="0" w:lastRowLastColumn="0"/>
            </w:pPr>
            <w:r>
              <w:t>What is the (quality of) evidence of contestation of self-regulatory system’s decisions?</w:t>
            </w:r>
          </w:p>
        </w:tc>
        <w:tc>
          <w:tcPr>
            <w:tcW w:w="2119" w:type="dxa"/>
          </w:tcPr>
          <w:p w14:paraId="1AC3535B" w14:textId="77777777" w:rsidR="00431B73" w:rsidRDefault="00431B73" w:rsidP="00431B7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5261834E" w14:textId="55C5A3F7" w:rsidR="00431B73" w:rsidRPr="00046EB7" w:rsidRDefault="00D97AF7" w:rsidP="00431B73">
            <w:pPr>
              <w:cnfStyle w:val="000000100000" w:firstRow="0" w:lastRow="0" w:firstColumn="0" w:lastColumn="0" w:oddVBand="0" w:evenVBand="0" w:oddHBand="1" w:evenHBand="0" w:firstRowFirstColumn="0" w:firstRowLastColumn="0" w:lastRowFirstColumn="0" w:lastRowLastColumn="0"/>
              <w:rPr>
                <w:color w:val="000000" w:themeColor="text1"/>
              </w:rPr>
            </w:pPr>
            <w:r w:rsidRPr="00046EB7">
              <w:rPr>
                <w:color w:val="000000" w:themeColor="text1"/>
              </w:rPr>
              <w:t>According to Autocontol’s Annual Activity Report (Autocontrol 2022)</w:t>
            </w:r>
            <w:r w:rsidR="00586212">
              <w:rPr>
                <w:color w:val="000000" w:themeColor="text1"/>
              </w:rPr>
              <w:t>,</w:t>
            </w:r>
            <w:r w:rsidRPr="00046EB7">
              <w:rPr>
                <w:color w:val="000000" w:themeColor="text1"/>
              </w:rPr>
              <w:t xml:space="preserve"> advertisers comply with the Jury decision in 95</w:t>
            </w:r>
            <w:r w:rsidR="00F30B25">
              <w:rPr>
                <w:color w:val="000000" w:themeColor="text1"/>
              </w:rPr>
              <w:t xml:space="preserve">% </w:t>
            </w:r>
            <w:r w:rsidRPr="00046EB7">
              <w:rPr>
                <w:color w:val="000000" w:themeColor="text1"/>
              </w:rPr>
              <w:t>of the cases. Autocontrol argues that its data shows a high degree of compliance and that advertisers usually adjust their advertising to the decisions of the Advertising Jury.</w:t>
            </w:r>
          </w:p>
          <w:p w14:paraId="01F7187D" w14:textId="77777777" w:rsidR="00431B73" w:rsidRPr="00046EB7" w:rsidRDefault="00431B73" w:rsidP="00431B73">
            <w:pPr>
              <w:cnfStyle w:val="000000100000" w:firstRow="0" w:lastRow="0" w:firstColumn="0" w:lastColumn="0" w:oddVBand="0" w:evenVBand="0" w:oddHBand="1" w:evenHBand="0" w:firstRowFirstColumn="0" w:firstRowLastColumn="0" w:lastRowFirstColumn="0" w:lastRowLastColumn="0"/>
              <w:rPr>
                <w:color w:val="000000" w:themeColor="text1"/>
              </w:rPr>
            </w:pPr>
          </w:p>
          <w:p w14:paraId="7F731C05" w14:textId="77777777" w:rsidR="00431B73" w:rsidRPr="00040C32" w:rsidRDefault="00D97AF7" w:rsidP="00431B73">
            <w:pPr>
              <w:cnfStyle w:val="000000100000" w:firstRow="0" w:lastRow="0" w:firstColumn="0" w:lastColumn="0" w:oddVBand="0" w:evenVBand="0" w:oddHBand="1" w:evenHBand="0" w:firstRowFirstColumn="0" w:firstRowLastColumn="0" w:lastRowFirstColumn="0" w:lastRowLastColumn="0"/>
              <w:rPr>
                <w:color w:val="000000" w:themeColor="text1"/>
              </w:rPr>
            </w:pPr>
            <w:r w:rsidRPr="00046EB7">
              <w:rPr>
                <w:color w:val="000000" w:themeColor="text1"/>
              </w:rPr>
              <w:t xml:space="preserve">Spanish courts and tribunal can act as a ‘backstop’ legal authority in cases of non-compliance with a ruling by Autocontrol. As of May 2024, there are no rulings by Spanish courts or tribunals concerning non-compliance with a resolution of the Advertising Jury. </w:t>
            </w:r>
          </w:p>
        </w:tc>
      </w:tr>
      <w:tr w:rsidR="000F492D" w14:paraId="05070481"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76EC8F6"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lastRenderedPageBreak/>
              <w:t>5.22</w:t>
            </w:r>
          </w:p>
        </w:tc>
        <w:tc>
          <w:tcPr>
            <w:tcW w:w="2192" w:type="dxa"/>
          </w:tcPr>
          <w:p w14:paraId="20206102" w14:textId="77777777" w:rsidR="00431B73" w:rsidRPr="00794344" w:rsidRDefault="00D97AF7" w:rsidP="00431B73">
            <w:pPr>
              <w:pStyle w:val="Subjectcolumntext"/>
              <w:cnfStyle w:val="000000000000" w:firstRow="0" w:lastRow="0" w:firstColumn="0" w:lastColumn="0" w:oddVBand="0" w:evenVBand="0" w:oddHBand="0" w:evenHBand="0" w:firstRowFirstColumn="0" w:firstRowLastColumn="0" w:lastRowFirstColumn="0" w:lastRowLastColumn="0"/>
            </w:pPr>
            <w:r w:rsidRPr="00EA1243">
              <w:t>SRO Environment (2020-2025)</w:t>
            </w:r>
          </w:p>
        </w:tc>
        <w:tc>
          <w:tcPr>
            <w:tcW w:w="2119" w:type="dxa"/>
          </w:tcPr>
          <w:p w14:paraId="153642D3" w14:textId="77777777" w:rsidR="00431B73" w:rsidRDefault="00431B73" w:rsidP="00431B7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tcPr>
          <w:p w14:paraId="3E7002BD" w14:textId="22ACE3C0" w:rsidR="00306EB3" w:rsidRPr="00306EB3" w:rsidRDefault="00306EB3" w:rsidP="00306EB3">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sidRPr="00306EB3">
              <w:rPr>
                <w:rFonts w:cs="Arial"/>
              </w:rPr>
              <w:t xml:space="preserve">In Spain, several SROs are known in the field of the Environment: </w:t>
            </w:r>
            <w:hyperlink r:id="rId140" w:history="1">
              <w:r w:rsidRPr="00306EB3">
                <w:rPr>
                  <w:rStyle w:val="Hyperlink"/>
                  <w:rFonts w:cs="Arial"/>
                </w:rPr>
                <w:t>The European Nature Trust</w:t>
              </w:r>
            </w:hyperlink>
            <w:r w:rsidRPr="00306EB3">
              <w:rPr>
                <w:rFonts w:cs="Arial"/>
              </w:rPr>
              <w:t xml:space="preserve"> and </w:t>
            </w:r>
            <w:hyperlink r:id="rId141" w:anchor=":~:text=Amigos%20de%20la%20Tierra%20Espa%C3%B1a,medio%20ambiente%2C%20justa%20y%20solidaria." w:history="1">
              <w:r w:rsidRPr="00306EB3">
                <w:rPr>
                  <w:rStyle w:val="Hyperlink"/>
                  <w:rFonts w:cs="Arial"/>
                </w:rPr>
                <w:t>Friends of the Earth Spain.</w:t>
              </w:r>
            </w:hyperlink>
            <w:r w:rsidRPr="00306EB3">
              <w:rPr>
                <w:rFonts w:cs="Arial"/>
              </w:rPr>
              <w:t xml:space="preserve"> </w:t>
            </w:r>
          </w:p>
          <w:p w14:paraId="5DAE5BDD" w14:textId="6A25D8A3" w:rsidR="00431B73" w:rsidRPr="0016559B" w:rsidRDefault="00306EB3" w:rsidP="00306EB3">
            <w:pPr>
              <w:spacing w:line="276" w:lineRule="auto"/>
              <w:cnfStyle w:val="000000000000" w:firstRow="0" w:lastRow="0" w:firstColumn="0" w:lastColumn="0" w:oddVBand="0" w:evenVBand="0" w:oddHBand="0" w:evenHBand="0" w:firstRowFirstColumn="0" w:firstRowLastColumn="0" w:lastRowFirstColumn="0" w:lastRowLastColumn="0"/>
              <w:rPr>
                <w:rFonts w:cs="Arial"/>
              </w:rPr>
            </w:pPr>
            <w:r w:rsidRPr="00306EB3">
              <w:rPr>
                <w:rFonts w:cs="Arial"/>
              </w:rPr>
              <w:t>They do not call themselves SROs, but they have similar functions in terms of self-regulation and setting standards within their environment of influence.</w:t>
            </w:r>
          </w:p>
        </w:tc>
      </w:tr>
      <w:tr w:rsidR="000F492D" w14:paraId="1BB25A71"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79448CD2" w14:textId="77777777" w:rsidR="00431B73" w:rsidRDefault="00D97AF7" w:rsidP="00431B73">
            <w:pPr>
              <w:spacing w:line="276" w:lineRule="auto"/>
              <w:rPr>
                <w:rFonts w:cs="Arial"/>
                <w:color w:val="747474" w:themeColor="background2" w:themeShade="80"/>
              </w:rPr>
            </w:pPr>
            <w:r>
              <w:rPr>
                <w:rFonts w:cs="Arial"/>
                <w:color w:val="747474" w:themeColor="background2" w:themeShade="80"/>
              </w:rPr>
              <w:t>5.23</w:t>
            </w:r>
          </w:p>
        </w:tc>
        <w:tc>
          <w:tcPr>
            <w:tcW w:w="2192" w:type="dxa"/>
          </w:tcPr>
          <w:p w14:paraId="55DB4AD3" w14:textId="77777777" w:rsidR="00431B73" w:rsidRPr="00794344" w:rsidRDefault="00D97AF7" w:rsidP="00431B73">
            <w:pPr>
              <w:pStyle w:val="Subjectcolumntext"/>
              <w:cnfStyle w:val="000000100000" w:firstRow="0" w:lastRow="0" w:firstColumn="0" w:lastColumn="0" w:oddVBand="0" w:evenVBand="0" w:oddHBand="1" w:evenHBand="0" w:firstRowFirstColumn="0" w:firstRowLastColumn="0" w:lastRowFirstColumn="0" w:lastRowLastColumn="0"/>
            </w:pPr>
            <w:r>
              <w:t xml:space="preserve">Indicators of effectiveness (primary SRO); </w:t>
            </w:r>
            <w:r w:rsidRPr="00E62DE5">
              <w:t>Ranking</w:t>
            </w:r>
          </w:p>
        </w:tc>
        <w:tc>
          <w:tcPr>
            <w:tcW w:w="2119" w:type="dxa"/>
          </w:tcPr>
          <w:p w14:paraId="58D26847" w14:textId="77777777" w:rsidR="00431B73" w:rsidRDefault="00431B73" w:rsidP="00431B7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tcPr>
          <w:p w14:paraId="33040827" w14:textId="5E631FA4" w:rsidR="00707DBF" w:rsidRPr="00707DBF" w:rsidRDefault="00000000" w:rsidP="00707DBF">
            <w:pPr>
              <w:spacing w:line="276" w:lineRule="auto"/>
              <w:cnfStyle w:val="000000100000" w:firstRow="0" w:lastRow="0" w:firstColumn="0" w:lastColumn="0" w:oddVBand="0" w:evenVBand="0" w:oddHBand="1" w:evenHBand="0" w:firstRowFirstColumn="0" w:firstRowLastColumn="0" w:lastRowFirstColumn="0" w:lastRowLastColumn="0"/>
              <w:rPr>
                <w:rFonts w:cs="Arial"/>
              </w:rPr>
            </w:pPr>
            <w:hyperlink r:id="rId142" w:history="1">
              <w:r w:rsidR="00707DBF" w:rsidRPr="00707DBF">
                <w:rPr>
                  <w:rStyle w:val="Hyperlink"/>
                  <w:rFonts w:cs="Arial"/>
                </w:rPr>
                <w:t>AUTOCONTROL</w:t>
              </w:r>
            </w:hyperlink>
            <w:r w:rsidR="00707DBF" w:rsidRPr="00707DBF">
              <w:rPr>
                <w:rFonts w:cs="Arial"/>
              </w:rPr>
              <w:t xml:space="preserve"> has an advertising compliance monitoring service, but it is not information available to the public. </w:t>
            </w:r>
          </w:p>
          <w:p w14:paraId="1AF74DA7" w14:textId="48731E2A" w:rsidR="00FA6BE1" w:rsidRDefault="00707DBF" w:rsidP="00707DBF">
            <w:pPr>
              <w:spacing w:line="276" w:lineRule="auto"/>
              <w:cnfStyle w:val="000000100000" w:firstRow="0" w:lastRow="0" w:firstColumn="0" w:lastColumn="0" w:oddVBand="0" w:evenVBand="0" w:oddHBand="1" w:evenHBand="0" w:firstRowFirstColumn="0" w:firstRowLastColumn="0" w:lastRowFirstColumn="0" w:lastRowLastColumn="0"/>
              <w:rPr>
                <w:rFonts w:cs="Arial"/>
              </w:rPr>
            </w:pPr>
            <w:r w:rsidRPr="00707DBF">
              <w:rPr>
                <w:rFonts w:cs="Arial"/>
              </w:rPr>
              <w:t>The indic</w:t>
            </w:r>
            <w:r w:rsidR="00586212">
              <w:rPr>
                <w:rFonts w:cs="Arial"/>
              </w:rPr>
              <w:t xml:space="preserve">ators of effectiveness </w:t>
            </w:r>
            <w:r w:rsidRPr="00707DBF">
              <w:rPr>
                <w:rFonts w:cs="Arial"/>
              </w:rPr>
              <w:t xml:space="preserve">that have been found only measure the information and socioeconomic impact of the advertising sector. </w:t>
            </w:r>
            <w:hyperlink r:id="rId143" w:history="1">
              <w:r w:rsidRPr="00707DBF">
                <w:rPr>
                  <w:rStyle w:val="Hyperlink"/>
                  <w:rFonts w:cs="Arial"/>
                </w:rPr>
                <w:t>Statista</w:t>
              </w:r>
            </w:hyperlink>
            <w:r w:rsidRPr="00707DBF">
              <w:rPr>
                <w:rFonts w:cs="Arial"/>
              </w:rPr>
              <w:t xml:space="preserve">; </w:t>
            </w:r>
            <w:hyperlink r:id="rId144" w:history="1">
              <w:r w:rsidRPr="00707DBF">
                <w:rPr>
                  <w:rStyle w:val="Hyperlink"/>
                  <w:rFonts w:cs="Arial"/>
                </w:rPr>
                <w:t>Advertising Observatory</w:t>
              </w:r>
            </w:hyperlink>
            <w:r w:rsidRPr="00707DBF">
              <w:rPr>
                <w:rFonts w:cs="Arial"/>
              </w:rPr>
              <w:t>.</w:t>
            </w:r>
          </w:p>
          <w:p w14:paraId="1C6ABBB0" w14:textId="77777777" w:rsidR="00431B73" w:rsidRDefault="00431B73" w:rsidP="00431B73">
            <w:pPr>
              <w:spacing w:line="276" w:lineRule="auto"/>
              <w:cnfStyle w:val="000000100000" w:firstRow="0" w:lastRow="0" w:firstColumn="0" w:lastColumn="0" w:oddVBand="0" w:evenVBand="0" w:oddHBand="1" w:evenHBand="0" w:firstRowFirstColumn="0" w:firstRowLastColumn="0" w:lastRowFirstColumn="0" w:lastRowLastColumn="0"/>
              <w:rPr>
                <w:rFonts w:cs="Arial"/>
              </w:rPr>
            </w:pPr>
          </w:p>
          <w:p w14:paraId="45AF155F" w14:textId="77777777" w:rsidR="00431B73" w:rsidRDefault="00431B73" w:rsidP="00431B73">
            <w:pPr>
              <w:spacing w:line="276" w:lineRule="auto"/>
              <w:cnfStyle w:val="000000100000" w:firstRow="0" w:lastRow="0" w:firstColumn="0" w:lastColumn="0" w:oddVBand="0" w:evenVBand="0" w:oddHBand="1" w:evenHBand="0" w:firstRowFirstColumn="0" w:firstRowLastColumn="0" w:lastRowFirstColumn="0" w:lastRowLastColumn="0"/>
              <w:rPr>
                <w:rFonts w:cs="Arial"/>
              </w:rPr>
            </w:pPr>
          </w:p>
          <w:p w14:paraId="68D3AD75" w14:textId="77777777" w:rsidR="00431B73" w:rsidRPr="0016559B" w:rsidRDefault="00431B73" w:rsidP="00431B73">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bl>
    <w:p w14:paraId="24445AF9" w14:textId="77777777" w:rsidR="005D4AEB" w:rsidRPr="004F0B6F" w:rsidRDefault="00D97AF7" w:rsidP="005D4AEB">
      <w:pPr>
        <w:pStyle w:val="SubtitleH2"/>
        <w:rPr>
          <w:rFonts w:eastAsiaTheme="minorEastAsia" w:cs="Times New Roman (Body CS)"/>
          <w:iCs/>
          <w:color w:val="000000" w:themeColor="text1"/>
          <w:sz w:val="24"/>
          <w:szCs w:val="24"/>
          <w:shd w:val="clear" w:color="auto" w:fill="auto"/>
        </w:rPr>
      </w:pPr>
      <w:r w:rsidRPr="004F0B6F">
        <w:t xml:space="preserve">Sections </w:t>
      </w:r>
      <w:r>
        <w:t>6-14</w:t>
      </w:r>
      <w:r w:rsidRPr="004F0B6F">
        <w:t xml:space="preserve"> </w:t>
      </w:r>
      <w:r w:rsidR="00AC13AC">
        <w:t>Branded Content Practices and Governance</w:t>
      </w:r>
    </w:p>
    <w:p w14:paraId="6D62C597" w14:textId="77777777" w:rsidR="005D4AEB" w:rsidRPr="005F3475" w:rsidRDefault="00D97AF7" w:rsidP="003A19BC">
      <w:pPr>
        <w:pStyle w:val="SectionHead"/>
      </w:pPr>
      <w:bookmarkStart w:id="12" w:name="_Toc170136346"/>
      <w:r w:rsidRPr="003A19BC">
        <w:t>Branded Content: General legal and regulatory framework</w:t>
      </w:r>
      <w:bookmarkEnd w:id="12"/>
      <w:r w:rsidRPr="005F3475">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0F492D" w14:paraId="174E132E" w14:textId="77777777" w:rsidTr="33F03C2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432879" w14:textId="77777777" w:rsidR="005D4AEB" w:rsidRPr="00424EE4" w:rsidRDefault="00D97AF7" w:rsidP="00F92CC7">
            <w:pPr>
              <w:pStyle w:val="Tableheadings"/>
            </w:pPr>
            <w:r w:rsidRPr="00424EE4">
              <w:rPr>
                <w:b/>
                <w:bCs/>
              </w:rPr>
              <w:t>Item</w:t>
            </w:r>
          </w:p>
        </w:tc>
        <w:tc>
          <w:tcPr>
            <w:tcW w:w="2126" w:type="dxa"/>
            <w:tcBorders>
              <w:bottom w:val="none" w:sz="0" w:space="0" w:color="auto"/>
            </w:tcBorders>
          </w:tcPr>
          <w:p w14:paraId="08744BC1" w14:textId="77777777" w:rsidR="005D4AEB"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Subject</w:t>
            </w:r>
          </w:p>
        </w:tc>
        <w:tc>
          <w:tcPr>
            <w:tcW w:w="2127" w:type="dxa"/>
            <w:tcBorders>
              <w:bottom w:val="none" w:sz="0" w:space="0" w:color="auto"/>
            </w:tcBorders>
          </w:tcPr>
          <w:p w14:paraId="708ADB84" w14:textId="77777777" w:rsidR="005D4AEB"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 xml:space="preserve">Classification </w:t>
            </w:r>
          </w:p>
        </w:tc>
        <w:tc>
          <w:tcPr>
            <w:tcW w:w="5670" w:type="dxa"/>
            <w:tcBorders>
              <w:bottom w:val="none" w:sz="0" w:space="0" w:color="auto"/>
            </w:tcBorders>
          </w:tcPr>
          <w:p w14:paraId="1A144955" w14:textId="77777777" w:rsidR="005D4AEB" w:rsidRPr="00424EE4"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424EE4">
              <w:rPr>
                <w:b/>
                <w:bCs/>
              </w:rPr>
              <w:t>Description</w:t>
            </w:r>
          </w:p>
        </w:tc>
      </w:tr>
      <w:tr w:rsidR="000F492D" w14:paraId="242EF554" w14:textId="77777777" w:rsidTr="33F03C2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9428243" w14:textId="77777777" w:rsidR="009D05D7" w:rsidRPr="00203503" w:rsidRDefault="00D97AF7" w:rsidP="009D05D7">
            <w:pPr>
              <w:spacing w:line="276" w:lineRule="auto"/>
              <w:rPr>
                <w:rFonts w:cs="Arial"/>
                <w:color w:val="747474" w:themeColor="background2" w:themeShade="80"/>
              </w:rPr>
            </w:pPr>
            <w:r>
              <w:rPr>
                <w:rFonts w:cs="Arial"/>
                <w:color w:val="747474" w:themeColor="background2" w:themeShade="80"/>
              </w:rPr>
              <w:t>6.1</w:t>
            </w:r>
          </w:p>
        </w:tc>
        <w:tc>
          <w:tcPr>
            <w:tcW w:w="2126" w:type="dxa"/>
            <w:tcBorders>
              <w:top w:val="none" w:sz="0" w:space="0" w:color="auto"/>
              <w:bottom w:val="none" w:sz="0" w:space="0" w:color="auto"/>
            </w:tcBorders>
          </w:tcPr>
          <w:p w14:paraId="778C00CE" w14:textId="77777777" w:rsidR="009D05D7" w:rsidRPr="000004F6" w:rsidRDefault="00D97AF7" w:rsidP="009D05D7">
            <w:pPr>
              <w:pStyle w:val="Subjectcolumntext"/>
              <w:cnfStyle w:val="000000100000" w:firstRow="0" w:lastRow="0" w:firstColumn="0" w:lastColumn="0" w:oddVBand="0" w:evenVBand="0" w:oddHBand="1" w:evenHBand="0" w:firstRowFirstColumn="0" w:firstRowLastColumn="0" w:lastRowFirstColumn="0" w:lastRowLastColumn="0"/>
            </w:pPr>
            <w:r w:rsidRPr="006A6461">
              <w:t>Are there general rules on identification of marketing communications? What?</w:t>
            </w:r>
          </w:p>
        </w:tc>
        <w:tc>
          <w:tcPr>
            <w:tcW w:w="2127" w:type="dxa"/>
            <w:tcBorders>
              <w:top w:val="none" w:sz="0" w:space="0" w:color="auto"/>
              <w:bottom w:val="none" w:sz="0" w:space="0" w:color="auto"/>
            </w:tcBorders>
          </w:tcPr>
          <w:p w14:paraId="5107CF14" w14:textId="77777777" w:rsidR="009D05D7" w:rsidRPr="00D97042" w:rsidRDefault="00D97AF7" w:rsidP="00D97042">
            <w:pPr>
              <w:pStyle w:val="Classificationcolumntext"/>
              <w:cnfStyle w:val="000000100000" w:firstRow="0" w:lastRow="0" w:firstColumn="0" w:lastColumn="0" w:oddVBand="0" w:evenVBand="0" w:oddHBand="1" w:evenHBand="0" w:firstRowFirstColumn="0" w:firstRowLastColumn="0" w:lastRowFirstColumn="0" w:lastRowLastColumn="0"/>
            </w:pPr>
            <w:r w:rsidRPr="00D97042">
              <w:t>Yes</w:t>
            </w:r>
          </w:p>
        </w:tc>
        <w:tc>
          <w:tcPr>
            <w:tcW w:w="5670" w:type="dxa"/>
            <w:tcBorders>
              <w:top w:val="none" w:sz="0" w:space="0" w:color="auto"/>
              <w:bottom w:val="none" w:sz="0" w:space="0" w:color="auto"/>
            </w:tcBorders>
          </w:tcPr>
          <w:p w14:paraId="33A01001" w14:textId="08148664" w:rsidR="00F30B25" w:rsidRPr="00F30B25" w:rsidRDefault="00D97AF7" w:rsidP="00F30B25">
            <w:pPr>
              <w:cnfStyle w:val="000000100000" w:firstRow="0" w:lastRow="0" w:firstColumn="0" w:lastColumn="0" w:oddVBand="0" w:evenVBand="0" w:oddHBand="1" w:evenHBand="0" w:firstRowFirstColumn="0" w:firstRowLastColumn="0" w:lastRowFirstColumn="0" w:lastRowLastColumn="0"/>
              <w:rPr>
                <w:rFonts w:cs="Arial"/>
                <w:lang w:val="en-US"/>
              </w:rPr>
            </w:pPr>
            <w:r>
              <w:rPr>
                <w:rFonts w:cs="Arial"/>
                <w:lang w:val="en-US"/>
              </w:rPr>
              <w:t>Yes, a</w:t>
            </w:r>
            <w:r w:rsidRPr="00F30B25">
              <w:rPr>
                <w:rFonts w:cs="Arial"/>
                <w:lang w:val="en-US"/>
              </w:rPr>
              <w:t>ccording to the new General Law on Audiovisual Communications (</w:t>
            </w:r>
            <w:hyperlink r:id="rId145" w:history="1">
              <w:r w:rsidRPr="00F30B25">
                <w:rPr>
                  <w:rStyle w:val="Hyperlink"/>
                  <w:rFonts w:cs="Arial"/>
                  <w:lang w:val="en-US"/>
                </w:rPr>
                <w:t>BOE, 2022a</w:t>
              </w:r>
            </w:hyperlink>
            <w:r w:rsidRPr="00F30B25">
              <w:rPr>
                <w:rFonts w:cs="Arial"/>
                <w:lang w:val="en-US"/>
              </w:rPr>
              <w:t>), commercial communication</w:t>
            </w:r>
            <w:r w:rsidR="00586212">
              <w:rPr>
                <w:rFonts w:cs="Arial"/>
                <w:lang w:val="en-US"/>
              </w:rPr>
              <w:t>s</w:t>
            </w:r>
            <w:r w:rsidRPr="00F30B25">
              <w:rPr>
                <w:rFonts w:cs="Arial"/>
                <w:lang w:val="en-US"/>
              </w:rPr>
              <w:t xml:space="preserve"> must be clearly differentiated from editorial content by optical and/or acoustic and/or spatial mechanisms, an</w:t>
            </w:r>
            <w:r w:rsidR="00586212">
              <w:rPr>
                <w:rFonts w:cs="Arial"/>
                <w:lang w:val="en-US"/>
              </w:rPr>
              <w:t>d</w:t>
            </w:r>
            <w:r w:rsidRPr="00F30B25">
              <w:rPr>
                <w:rFonts w:cs="Arial"/>
                <w:lang w:val="en-US"/>
              </w:rPr>
              <w:t xml:space="preserve"> those whose characteristics are likely to mislead the viewer as to its advertising nature shall include a permanent and legible overprint with the indication 'advertising'</w:t>
            </w:r>
            <w:r w:rsidRPr="00F30B25">
              <w:rPr>
                <w:rFonts w:cs="Arial"/>
                <w:color w:val="FF0000"/>
                <w:lang w:val="en-US"/>
              </w:rPr>
              <w:t>.</w:t>
            </w:r>
          </w:p>
          <w:p w14:paraId="1E92B2C2" w14:textId="77777777" w:rsidR="00F30B25" w:rsidRDefault="00F30B25"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p>
          <w:p w14:paraId="7CE07F62" w14:textId="77777777" w:rsidR="009D05D7" w:rsidRPr="00D97042" w:rsidRDefault="00D97AF7"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Pr>
                <w:rFonts w:cs="Arial"/>
                <w:color w:val="000000" w:themeColor="text1"/>
              </w:rPr>
              <w:t>T</w:t>
            </w:r>
            <w:r w:rsidR="00443023" w:rsidRPr="00D97042">
              <w:rPr>
                <w:rFonts w:cs="Arial"/>
                <w:color w:val="000000" w:themeColor="text1"/>
              </w:rPr>
              <w:t xml:space="preserve">he general requirement to identify marketing communications is set out in various </w:t>
            </w:r>
            <w:r w:rsidRPr="00D97042">
              <w:rPr>
                <w:rFonts w:cs="Arial"/>
                <w:color w:val="000000" w:themeColor="text1"/>
              </w:rPr>
              <w:t>laws and codes</w:t>
            </w:r>
            <w:r w:rsidR="00514448" w:rsidRPr="00D97042">
              <w:rPr>
                <w:rFonts w:cs="Arial"/>
                <w:color w:val="000000" w:themeColor="text1"/>
              </w:rPr>
              <w:t>. T</w:t>
            </w:r>
            <w:r w:rsidRPr="00D97042">
              <w:rPr>
                <w:rFonts w:cs="Arial"/>
                <w:color w:val="000000" w:themeColor="text1"/>
              </w:rPr>
              <w:t>he most relevant are:</w:t>
            </w:r>
          </w:p>
          <w:p w14:paraId="4B83DAAC" w14:textId="77777777" w:rsidR="009D05D7" w:rsidRPr="00D97042" w:rsidRDefault="00D97AF7"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D97042">
              <w:rPr>
                <w:rFonts w:cs="Arial"/>
                <w:b/>
                <w:color w:val="000000" w:themeColor="text1"/>
              </w:rPr>
              <w:t>General Advertising Law 34/1988 (LGP)</w:t>
            </w:r>
            <w:r w:rsidRPr="00D97042">
              <w:rPr>
                <w:rFonts w:cs="Arial"/>
                <w:color w:val="000000" w:themeColor="text1"/>
              </w:rPr>
              <w:t>: This law establishes the guiding principles and limits of advertising activity.</w:t>
            </w:r>
          </w:p>
          <w:p w14:paraId="1C68CCEE" w14:textId="77777777" w:rsidR="00B278DB" w:rsidRPr="00D97042" w:rsidRDefault="00D97AF7"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D97042">
              <w:rPr>
                <w:rFonts w:cs="Arial"/>
                <w:b/>
                <w:color w:val="000000" w:themeColor="text1"/>
              </w:rPr>
              <w:t>Information Society Services Law 34/2002 (LSSI)</w:t>
            </w:r>
            <w:r w:rsidRPr="00D97042">
              <w:rPr>
                <w:rFonts w:cs="Arial"/>
                <w:color w:val="000000" w:themeColor="text1"/>
              </w:rPr>
              <w:t xml:space="preserve">: This law takes into account the legal framework of digital marketing. (Art. 19-22). (Art.2): For the purposes of the Law, Advertising is understood to mean: “Any form of communication made by a natural or legal person, public or private, in the exercise of a commercial, industrial, artisanal or professional activity, with the purpose of </w:t>
            </w:r>
            <w:r w:rsidRPr="00D97042">
              <w:rPr>
                <w:rFonts w:cs="Arial"/>
                <w:color w:val="000000" w:themeColor="text1"/>
              </w:rPr>
              <w:lastRenderedPageBreak/>
              <w:t>directly or professionally promoting indirect contracting of movable or immovable property, services, rights and obligations”.</w:t>
            </w:r>
          </w:p>
          <w:p w14:paraId="7B8A9522" w14:textId="77777777" w:rsidR="00B278DB" w:rsidRPr="00D97042" w:rsidRDefault="00B278DB"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p>
          <w:p w14:paraId="0E882EEB" w14:textId="77777777" w:rsidR="009D05D7" w:rsidRPr="00D97042" w:rsidRDefault="00D97AF7"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D97042">
              <w:rPr>
                <w:rFonts w:cs="Arial"/>
                <w:b/>
                <w:color w:val="000000" w:themeColor="text1"/>
              </w:rPr>
              <w:t>The new Law 13/2022 General Audiovisual Communications (LGCA</w:t>
            </w:r>
            <w:r w:rsidRPr="00D97042">
              <w:rPr>
                <w:rFonts w:cs="Arial"/>
                <w:color w:val="000000" w:themeColor="text1"/>
              </w:rPr>
              <w:t>), Art. 121-142.</w:t>
            </w:r>
          </w:p>
          <w:p w14:paraId="197CA0B3" w14:textId="77777777" w:rsidR="00514448" w:rsidRPr="00D97042" w:rsidRDefault="00514448"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p>
          <w:p w14:paraId="5D2DB6C3" w14:textId="167455A4" w:rsidR="009D05D7" w:rsidRPr="00D97042" w:rsidRDefault="00D97AF7"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D97042">
              <w:rPr>
                <w:rFonts w:cs="Arial"/>
                <w:b/>
                <w:color w:val="000000" w:themeColor="text1"/>
              </w:rPr>
              <w:t>Royal Legislative Decree 1/2007</w:t>
            </w:r>
            <w:r w:rsidR="00586212">
              <w:rPr>
                <w:rFonts w:cs="Arial"/>
                <w:b/>
                <w:color w:val="000000" w:themeColor="text1"/>
              </w:rPr>
              <w:t>,</w:t>
            </w:r>
            <w:r w:rsidRPr="00D97042">
              <w:rPr>
                <w:rFonts w:cs="Arial"/>
                <w:b/>
                <w:color w:val="000000" w:themeColor="text1"/>
              </w:rPr>
              <w:t xml:space="preserve"> </w:t>
            </w:r>
            <w:r w:rsidRPr="005A6318">
              <w:rPr>
                <w:rFonts w:cs="Arial"/>
                <w:bCs/>
                <w:color w:val="000000" w:themeColor="text1"/>
              </w:rPr>
              <w:t>which approves the consolidated text of the General Law for the Defence of Consumers and Users and other complementary laws.</w:t>
            </w:r>
            <w:r w:rsidRPr="00D97042">
              <w:rPr>
                <w:rFonts w:cs="Arial"/>
                <w:color w:val="000000" w:themeColor="text1"/>
              </w:rPr>
              <w:t xml:space="preserve"> (Art. 20).</w:t>
            </w:r>
          </w:p>
          <w:p w14:paraId="3DC93879" w14:textId="77777777" w:rsidR="00514448" w:rsidRPr="00D97042" w:rsidRDefault="00514448"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p>
          <w:p w14:paraId="6B88476E" w14:textId="77777777" w:rsidR="009D05D7" w:rsidRPr="00D97042" w:rsidRDefault="00D97AF7"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D97042">
              <w:rPr>
                <w:rFonts w:cs="Arial"/>
                <w:b/>
                <w:color w:val="000000" w:themeColor="text1"/>
              </w:rPr>
              <w:t>Law 3/1991 on Unfair Competition</w:t>
            </w:r>
            <w:r w:rsidRPr="00D97042">
              <w:rPr>
                <w:rFonts w:cs="Arial"/>
                <w:color w:val="000000" w:themeColor="text1"/>
              </w:rPr>
              <w:t xml:space="preserve"> </w:t>
            </w:r>
            <w:r w:rsidRPr="00D97042">
              <w:rPr>
                <w:rFonts w:cs="Arial"/>
                <w:b/>
                <w:color w:val="000000" w:themeColor="text1"/>
              </w:rPr>
              <w:t>(LCD)</w:t>
            </w:r>
            <w:r w:rsidR="005120BB">
              <w:rPr>
                <w:rFonts w:cs="Arial"/>
                <w:b/>
                <w:color w:val="000000" w:themeColor="text1"/>
              </w:rPr>
              <w:t xml:space="preserve">, </w:t>
            </w:r>
            <w:r w:rsidRPr="00D97042">
              <w:rPr>
                <w:rFonts w:cs="Arial"/>
                <w:color w:val="000000" w:themeColor="text1"/>
              </w:rPr>
              <w:t>Art. 21</w:t>
            </w:r>
            <w:r w:rsidR="005120BB">
              <w:rPr>
                <w:rFonts w:cs="Arial"/>
                <w:color w:val="000000" w:themeColor="text1"/>
              </w:rPr>
              <w:t>.</w:t>
            </w:r>
          </w:p>
          <w:p w14:paraId="6629401E" w14:textId="77777777" w:rsidR="00514448" w:rsidRPr="00D97042" w:rsidRDefault="00514448"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p>
          <w:p w14:paraId="578DB429" w14:textId="0806279C" w:rsidR="009D05D7" w:rsidRPr="00D97042" w:rsidRDefault="00D97AF7"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D97042">
              <w:rPr>
                <w:rFonts w:cs="Arial"/>
                <w:color w:val="000000" w:themeColor="text1"/>
              </w:rPr>
              <w:t xml:space="preserve">More exhaustively, there is the </w:t>
            </w:r>
            <w:hyperlink r:id="rId146" w:history="1">
              <w:r w:rsidRPr="00D97042">
                <w:rPr>
                  <w:rStyle w:val="Hyperlink"/>
                  <w:rFonts w:cs="Arial"/>
                  <w:color w:val="000000" w:themeColor="text1"/>
                </w:rPr>
                <w:t>Advertising Law Code</w:t>
              </w:r>
            </w:hyperlink>
            <w:r w:rsidR="00586212">
              <w:rPr>
                <w:rStyle w:val="Hyperlink"/>
                <w:rFonts w:cs="Arial"/>
                <w:color w:val="000000" w:themeColor="text1"/>
              </w:rPr>
              <w:t>,</w:t>
            </w:r>
            <w:r w:rsidRPr="00D97042">
              <w:rPr>
                <w:rFonts w:cs="Arial"/>
                <w:color w:val="000000" w:themeColor="text1"/>
              </w:rPr>
              <w:t xml:space="preserve"> where all the consolidated rules that regulate advertising in Spain are collected and published, from the original text to the latest version in force.</w:t>
            </w:r>
          </w:p>
          <w:p w14:paraId="72456CFF" w14:textId="77777777" w:rsidR="00400420" w:rsidRPr="00D97042" w:rsidRDefault="00400420"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p>
          <w:p w14:paraId="6C736640" w14:textId="0DC4A2C4" w:rsidR="009D05D7" w:rsidRPr="005120BB" w:rsidRDefault="00D97AF7" w:rsidP="00D97042">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D97042">
              <w:rPr>
                <w:rStyle w:val="normaltextrun"/>
                <w:rFonts w:eastAsia="Calibri" w:cs="Arial"/>
                <w:color w:val="000000" w:themeColor="text1"/>
              </w:rPr>
              <w:t>In the EU, the Unfair Commercial Practices Directive (</w:t>
            </w:r>
            <w:hyperlink r:id="rId147" w:history="1">
              <w:r w:rsidRPr="00D97042">
                <w:rPr>
                  <w:rStyle w:val="Hyperlink"/>
                  <w:rFonts w:cs="Arial"/>
                  <w:color w:val="0563C1"/>
                </w:rPr>
                <w:t>Directive 2005/29/EC</w:t>
              </w:r>
            </w:hyperlink>
            <w:r w:rsidRPr="00D97042">
              <w:rPr>
                <w:rStyle w:val="normaltextrun"/>
                <w:rFonts w:eastAsia="Calibri" w:cs="Arial"/>
                <w:color w:val="000000" w:themeColor="text1"/>
              </w:rPr>
              <w:t>) and the Misleading and Comparative Advertising Directive (</w:t>
            </w:r>
            <w:hyperlink r:id="rId148" w:history="1">
              <w:r w:rsidRPr="00D97042">
                <w:rPr>
                  <w:rStyle w:val="Hyperlink"/>
                  <w:rFonts w:cs="Arial"/>
                </w:rPr>
                <w:t>Directive 2006/114/EC</w:t>
              </w:r>
            </w:hyperlink>
            <w:r w:rsidRPr="00D97042">
              <w:rPr>
                <w:rStyle w:val="normaltextrun"/>
                <w:rFonts w:eastAsia="Calibri" w:cs="Arial"/>
                <w:color w:val="000000" w:themeColor="text1"/>
              </w:rPr>
              <w:t>)</w:t>
            </w:r>
            <w:r w:rsidR="004C0042">
              <w:rPr>
                <w:rStyle w:val="normaltextrun"/>
                <w:rFonts w:eastAsia="Calibri" w:cs="Arial"/>
                <w:color w:val="000000" w:themeColor="text1"/>
              </w:rPr>
              <w:t>,</w:t>
            </w:r>
            <w:r w:rsidR="004C0042">
              <w:rPr>
                <w:rStyle w:val="normaltextrun"/>
                <w:color w:val="000000" w:themeColor="text1"/>
              </w:rPr>
              <w:t xml:space="preserve"> both transposed into national law,</w:t>
            </w:r>
            <w:r w:rsidRPr="00D97042">
              <w:rPr>
                <w:rStyle w:val="normaltextrun"/>
                <w:rFonts w:eastAsia="Calibri" w:cs="Arial"/>
                <w:color w:val="000000" w:themeColor="text1"/>
              </w:rPr>
              <w:t xml:space="preserve"> contain relevant consumer protection and advertising regulations and set rules demanding the identification of commercial content. Article 7 of the Unfair Commercial Practices Directive (</w:t>
            </w:r>
            <w:hyperlink r:id="rId149" w:history="1">
              <w:r w:rsidRPr="00D97042">
                <w:rPr>
                  <w:rStyle w:val="Hyperlink"/>
                  <w:rFonts w:cs="Arial"/>
                </w:rPr>
                <w:t>Directive 2005/29/EC</w:t>
              </w:r>
            </w:hyperlink>
            <w:r w:rsidRPr="00D97042">
              <w:rPr>
                <w:rStyle w:val="normaltextrun"/>
                <w:rFonts w:eastAsia="Calibri" w:cs="Arial"/>
                <w:color w:val="000000" w:themeColor="text1"/>
              </w:rPr>
              <w:t>) classifies the failure to ‘identify the commercial intent of the commercial practice if not already apparent from the context’ as a misleading omission, which is a prohibited practice (</w:t>
            </w:r>
            <w:hyperlink r:id="rId150" w:history="1">
              <w:r w:rsidRPr="00D97042">
                <w:rPr>
                  <w:rStyle w:val="Hyperlink"/>
                  <w:rFonts w:cs="Arial"/>
                </w:rPr>
                <w:t>Directive 2005/29/EC</w:t>
              </w:r>
            </w:hyperlink>
            <w:r w:rsidRPr="00D97042">
              <w:rPr>
                <w:rStyle w:val="normaltextrun"/>
                <w:rFonts w:eastAsia="Calibri" w:cs="Arial"/>
                <w:color w:val="000000" w:themeColor="text1"/>
              </w:rPr>
              <w:t xml:space="preserve"> Article 7, (2)). The Directive also requires th</w:t>
            </w:r>
            <w:r w:rsidR="00586212">
              <w:rPr>
                <w:rStyle w:val="normaltextrun"/>
                <w:rFonts w:eastAsia="Calibri" w:cs="Arial"/>
                <w:color w:val="000000" w:themeColor="text1"/>
              </w:rPr>
              <w:t>at</w:t>
            </w:r>
            <w:r w:rsidRPr="00D97042">
              <w:rPr>
                <w:rStyle w:val="normaltextrun"/>
                <w:rFonts w:eastAsia="Calibri" w:cs="Arial"/>
                <w:color w:val="000000" w:themeColor="text1"/>
              </w:rPr>
              <w:t xml:space="preserve"> Member States have appropriate enforcement powers</w:t>
            </w:r>
            <w:r w:rsidR="00586212">
              <w:rPr>
                <w:rStyle w:val="normaltextrun"/>
                <w:rFonts w:eastAsia="Calibri" w:cs="Arial"/>
                <w:color w:val="000000" w:themeColor="text1"/>
              </w:rPr>
              <w:t>,</w:t>
            </w:r>
            <w:r w:rsidRPr="00D97042">
              <w:rPr>
                <w:rStyle w:val="normaltextrun"/>
                <w:rFonts w:eastAsia="Calibri" w:cs="Arial"/>
                <w:color w:val="000000" w:themeColor="text1"/>
              </w:rPr>
              <w:t xml:space="preserve"> so </w:t>
            </w:r>
            <w:r w:rsidR="00586212">
              <w:rPr>
                <w:rStyle w:val="normaltextrun"/>
                <w:rFonts w:eastAsia="Calibri" w:cs="Arial"/>
                <w:color w:val="000000" w:themeColor="text1"/>
              </w:rPr>
              <w:t xml:space="preserve">that </w:t>
            </w:r>
            <w:r w:rsidRPr="00D97042">
              <w:rPr>
                <w:rStyle w:val="normaltextrun"/>
                <w:rFonts w:eastAsia="Calibri" w:cs="Arial"/>
                <w:color w:val="000000" w:themeColor="text1"/>
              </w:rPr>
              <w:t>consumers can act when affected by breaches of these rules, including through legal routes, regulatory authorities, and/or complaint systems. The Misleading and Comparative Advertising Directive (</w:t>
            </w:r>
            <w:hyperlink r:id="rId151" w:history="1">
              <w:r w:rsidRPr="00D97042">
                <w:rPr>
                  <w:rStyle w:val="Hyperlink"/>
                  <w:rFonts w:cs="Arial"/>
                </w:rPr>
                <w:t>Directive 2006/114/EC</w:t>
              </w:r>
            </w:hyperlink>
            <w:r w:rsidRPr="00D97042">
              <w:rPr>
                <w:rStyle w:val="normaltextrun"/>
                <w:rFonts w:eastAsia="Calibri" w:cs="Arial"/>
                <w:color w:val="000000" w:themeColor="text1"/>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152" w:history="1">
              <w:r w:rsidRPr="00D97042">
                <w:rPr>
                  <w:rStyle w:val="Hyperlink"/>
                  <w:rFonts w:cs="Arial"/>
                </w:rPr>
                <w:t>Directive 2006/114/EC</w:t>
              </w:r>
            </w:hyperlink>
            <w:r w:rsidRPr="00D97042">
              <w:rPr>
                <w:rFonts w:eastAsia="Calibri" w:cs="Arial"/>
                <w:color w:val="000000" w:themeColor="text1"/>
              </w:rPr>
              <w:t>, Article 4 (a)).</w:t>
            </w:r>
          </w:p>
          <w:p w14:paraId="22268995" w14:textId="77777777" w:rsidR="0007002B" w:rsidRDefault="0007002B" w:rsidP="00D97042">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p>
          <w:p w14:paraId="3B78D4FF" w14:textId="77777777" w:rsidR="0007002B" w:rsidRPr="0007002B" w:rsidRDefault="00D97AF7" w:rsidP="00D97042">
            <w:pPr>
              <w:cnfStyle w:val="000000100000" w:firstRow="0" w:lastRow="0" w:firstColumn="0" w:lastColumn="0" w:oddVBand="0" w:evenVBand="0" w:oddHBand="1" w:evenHBand="0" w:firstRowFirstColumn="0" w:firstRowLastColumn="0" w:lastRowFirstColumn="0" w:lastRowLastColumn="0"/>
              <w:rPr>
                <w:rFonts w:eastAsia="Calibri" w:cs="Arial"/>
                <w:b/>
                <w:bCs/>
                <w:color w:val="000000" w:themeColor="text1"/>
              </w:rPr>
            </w:pPr>
            <w:r w:rsidRPr="0007002B">
              <w:rPr>
                <w:rFonts w:eastAsia="Calibri" w:cs="Arial"/>
                <w:b/>
                <w:bCs/>
                <w:color w:val="000000" w:themeColor="text1"/>
              </w:rPr>
              <w:t>Branded content</w:t>
            </w:r>
          </w:p>
          <w:p w14:paraId="2590197F" w14:textId="2C89F2CE" w:rsidR="0007002B" w:rsidRPr="00D97042" w:rsidRDefault="00D97AF7" w:rsidP="00D97042">
            <w:pPr>
              <w:cnfStyle w:val="000000100000" w:firstRow="0" w:lastRow="0" w:firstColumn="0" w:lastColumn="0" w:oddVBand="0" w:evenVBand="0" w:oddHBand="1" w:evenHBand="0" w:firstRowFirstColumn="0" w:firstRowLastColumn="0" w:lastRowFirstColumn="0" w:lastRowLastColumn="0"/>
              <w:rPr>
                <w:rFonts w:eastAsia="Calibri" w:cs="Arial"/>
              </w:rPr>
            </w:pPr>
            <w:r w:rsidRPr="0007002B">
              <w:rPr>
                <w:rFonts w:eastAsia="Calibri" w:cs="Arial"/>
              </w:rPr>
              <w:t xml:space="preserve">Although there is no express mention of branded content in Spanish regulation to date, it is understood that it is covered by the Article 2 of the General Advertising Law, because advertising is defined as any form of communication made by a natural or legal person, public or private, in the exercise of a trade, business, craft or profession in order to promote directly or indirectly the contracting of real or personal property, services, rights and obligations. </w:t>
            </w:r>
            <w:r w:rsidR="004C2735">
              <w:rPr>
                <w:rFonts w:eastAsia="Calibri" w:cs="Arial"/>
              </w:rPr>
              <w:t>In addition</w:t>
            </w:r>
            <w:r w:rsidRPr="0007002B">
              <w:rPr>
                <w:rFonts w:eastAsia="Calibri" w:cs="Arial"/>
              </w:rPr>
              <w:t xml:space="preserve">, branded content is </w:t>
            </w:r>
            <w:r w:rsidR="005120BB">
              <w:rPr>
                <w:rFonts w:eastAsia="Calibri" w:cs="Arial"/>
              </w:rPr>
              <w:t xml:space="preserve">addressed </w:t>
            </w:r>
            <w:r w:rsidR="005120BB">
              <w:rPr>
                <w:rFonts w:eastAsia="Calibri" w:cs="Arial"/>
              </w:rPr>
              <w:lastRenderedPageBreak/>
              <w:t xml:space="preserve">by </w:t>
            </w:r>
            <w:r w:rsidRPr="0007002B">
              <w:rPr>
                <w:rFonts w:eastAsia="Calibri" w:cs="Arial"/>
              </w:rPr>
              <w:t xml:space="preserve">Article 136 of the new </w:t>
            </w:r>
            <w:r w:rsidRPr="0007002B">
              <w:rPr>
                <w:rFonts w:eastAsia="Calibri" w:cs="Arial"/>
                <w:lang w:val="en-US"/>
              </w:rPr>
              <w:t>General Law on Audiovisual Communications</w:t>
            </w:r>
            <w:r w:rsidR="004C2735">
              <w:rPr>
                <w:rFonts w:eastAsia="Calibri" w:cs="Arial"/>
                <w:lang w:val="en-US"/>
              </w:rPr>
              <w:t>,</w:t>
            </w:r>
            <w:r w:rsidRPr="0007002B">
              <w:rPr>
                <w:rFonts w:eastAsia="Calibri" w:cs="Arial"/>
                <w:lang w:val="en-US"/>
              </w:rPr>
              <w:t xml:space="preserve"> </w:t>
            </w:r>
            <w:r>
              <w:rPr>
                <w:rFonts w:eastAsia="Calibri" w:cs="Arial"/>
                <w:lang w:val="en-US"/>
              </w:rPr>
              <w:t xml:space="preserve">which requires </w:t>
            </w:r>
            <w:r w:rsidRPr="0007002B">
              <w:rPr>
                <w:rFonts w:eastAsia="Calibri" w:cs="Arial"/>
                <w:lang w:val="en-US"/>
              </w:rPr>
              <w:t>that commercial communication whose characteristics are likely to mislead the viewer as to its advertising nature shall include a permanent and legible overprint with the indication 'advertising'.</w:t>
            </w:r>
          </w:p>
        </w:tc>
      </w:tr>
      <w:tr w:rsidR="000F492D" w14:paraId="36D35866" w14:textId="77777777" w:rsidTr="33F03C2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866957" w14:textId="77777777" w:rsidR="009D05D7" w:rsidRPr="00203503" w:rsidRDefault="00D97AF7" w:rsidP="009D05D7">
            <w:pPr>
              <w:spacing w:line="276" w:lineRule="auto"/>
              <w:rPr>
                <w:rFonts w:cs="Arial"/>
                <w:color w:val="3A3A3A" w:themeColor="background2" w:themeShade="40"/>
              </w:rPr>
            </w:pPr>
            <w:r>
              <w:rPr>
                <w:rFonts w:cs="Arial"/>
                <w:color w:val="747474" w:themeColor="background2" w:themeShade="80"/>
              </w:rPr>
              <w:lastRenderedPageBreak/>
              <w:t>6.2</w:t>
            </w:r>
          </w:p>
        </w:tc>
        <w:tc>
          <w:tcPr>
            <w:tcW w:w="2126" w:type="dxa"/>
          </w:tcPr>
          <w:p w14:paraId="1783EF92" w14:textId="77777777" w:rsidR="009D05D7" w:rsidRDefault="00D97AF7" w:rsidP="009D05D7">
            <w:pPr>
              <w:pStyle w:val="Subjectcolumntext"/>
              <w:cnfStyle w:val="000000000000" w:firstRow="0" w:lastRow="0" w:firstColumn="0" w:lastColumn="0" w:oddVBand="0" w:evenVBand="0" w:oddHBand="0" w:evenHBand="0" w:firstRowFirstColumn="0" w:firstRowLastColumn="0" w:lastRowFirstColumn="0" w:lastRowLastColumn="0"/>
            </w:pPr>
            <w:r w:rsidRPr="004E1171">
              <w:t xml:space="preserve">Are there </w:t>
            </w:r>
            <w:r>
              <w:t xml:space="preserve">general </w:t>
            </w:r>
            <w:r w:rsidRPr="004E1171">
              <w:t>rules requiring that marketing communications identify who the advertiser/sponsor of the advertising is?</w:t>
            </w:r>
          </w:p>
        </w:tc>
        <w:tc>
          <w:tcPr>
            <w:tcW w:w="2127" w:type="dxa"/>
          </w:tcPr>
          <w:p w14:paraId="3B8A7A06" w14:textId="77777777" w:rsidR="009D05D7" w:rsidRDefault="009D05D7" w:rsidP="009D05D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A7804AE" w14:textId="77777777" w:rsidR="00A847B4" w:rsidRPr="00905113" w:rsidRDefault="00D97AF7" w:rsidP="00A847B4">
            <w:pPr>
              <w:cnfStyle w:val="000000000000" w:firstRow="0" w:lastRow="0" w:firstColumn="0" w:lastColumn="0" w:oddVBand="0" w:evenVBand="0" w:oddHBand="0" w:evenHBand="0" w:firstRowFirstColumn="0" w:firstRowLastColumn="0" w:lastRowFirstColumn="0" w:lastRowLastColumn="0"/>
              <w:rPr>
                <w:rFonts w:eastAsia="Calibri" w:cs="Arial"/>
              </w:rPr>
            </w:pPr>
            <w:r w:rsidRPr="00905113">
              <w:rPr>
                <w:rFonts w:cs="Arial"/>
              </w:rPr>
              <w:t>In the EU, t</w:t>
            </w:r>
            <w:r w:rsidRPr="00905113">
              <w:rPr>
                <w:rStyle w:val="normaltextrun"/>
                <w:rFonts w:eastAsia="Calibri" w:cs="Arial"/>
                <w:color w:val="000000" w:themeColor="text1"/>
              </w:rPr>
              <w:t>he Unfair Commercial Practices Directive (</w:t>
            </w:r>
            <w:hyperlink r:id="rId153" w:history="1">
              <w:r w:rsidRPr="00905113">
                <w:rPr>
                  <w:rStyle w:val="Hyperlink"/>
                  <w:rFonts w:cs="Arial"/>
                  <w:color w:val="0563C1"/>
                </w:rPr>
                <w:t>Directive 2005/29/EC</w:t>
              </w:r>
            </w:hyperlink>
            <w:r w:rsidRPr="00905113">
              <w:rPr>
                <w:rStyle w:val="normaltextrun"/>
                <w:rFonts w:eastAsia="Calibri" w:cs="Arial"/>
                <w:color w:val="000000" w:themeColor="text1"/>
              </w:rPr>
              <w:t>)  classifies a lack of identification of the trader as a misleading omission. Article 7 (4) states: ‘In the case of an invitation to purchase, the following information shall be regarded as material, if not already apparent from the context: (b</w:t>
            </w:r>
            <w:r w:rsidRPr="00905113">
              <w:rPr>
                <w:rFonts w:eastAsia="Calibri" w:cs="Arial"/>
                <w:color w:val="000000" w:themeColor="text1"/>
              </w:rPr>
              <w:t>) the geographical address and the identity of the trader, such as his trading name and, where applicable, the geographical address and the identity of the trader on whose behalf he is acting’.</w:t>
            </w:r>
          </w:p>
          <w:p w14:paraId="79587281" w14:textId="77777777" w:rsidR="00A847B4" w:rsidRDefault="00A847B4" w:rsidP="009D05D7">
            <w:pPr>
              <w:cnfStyle w:val="000000000000" w:firstRow="0" w:lastRow="0" w:firstColumn="0" w:lastColumn="0" w:oddVBand="0" w:evenVBand="0" w:oddHBand="0" w:evenHBand="0" w:firstRowFirstColumn="0" w:firstRowLastColumn="0" w:lastRowFirstColumn="0" w:lastRowLastColumn="0"/>
              <w:rPr>
                <w:color w:val="000000" w:themeColor="text1"/>
              </w:rPr>
            </w:pPr>
          </w:p>
          <w:p w14:paraId="512DC343" w14:textId="77777777" w:rsidR="009D05D7" w:rsidRPr="00E72B65" w:rsidRDefault="00D97AF7" w:rsidP="00785973">
            <w:pPr>
              <w:cnfStyle w:val="000000000000" w:firstRow="0" w:lastRow="0" w:firstColumn="0" w:lastColumn="0" w:oddVBand="0" w:evenVBand="0" w:oddHBand="0" w:evenHBand="0" w:firstRowFirstColumn="0" w:firstRowLastColumn="0" w:lastRowFirstColumn="0" w:lastRowLastColumn="0"/>
              <w:rPr>
                <w:color w:val="000000" w:themeColor="text1"/>
              </w:rPr>
            </w:pPr>
            <w:r w:rsidRPr="00785973">
              <w:rPr>
                <w:color w:val="000000" w:themeColor="text1"/>
              </w:rPr>
              <w:t xml:space="preserve">According to article 20.1 of the </w:t>
            </w:r>
            <w:r w:rsidR="00E72B65">
              <w:rPr>
                <w:color w:val="000000" w:themeColor="text1"/>
              </w:rPr>
              <w:t xml:space="preserve">Spanish </w:t>
            </w:r>
            <w:r w:rsidRPr="00785973">
              <w:rPr>
                <w:color w:val="000000" w:themeColor="text1"/>
              </w:rPr>
              <w:t>Information Society Services Law</w:t>
            </w:r>
            <w:r w:rsidR="005A3BF1">
              <w:rPr>
                <w:color w:val="000000" w:themeColor="text1"/>
              </w:rPr>
              <w:t xml:space="preserve"> (LSSI)</w:t>
            </w:r>
            <w:r w:rsidRPr="00785973">
              <w:rPr>
                <w:color w:val="000000" w:themeColor="text1"/>
              </w:rPr>
              <w:t xml:space="preserve">, </w:t>
            </w:r>
            <w:r w:rsidR="00020F72">
              <w:rPr>
                <w:color w:val="000000" w:themeColor="text1"/>
              </w:rPr>
              <w:t xml:space="preserve">advertising must be recognised as such. </w:t>
            </w:r>
            <w:r w:rsidR="00AC1BE6">
              <w:rPr>
                <w:color w:val="000000" w:themeColor="text1"/>
              </w:rPr>
              <w:t xml:space="preserve">In addition, the marketer/source of the </w:t>
            </w:r>
            <w:r w:rsidRPr="00785973">
              <w:rPr>
                <w:color w:val="000000" w:themeColor="text1"/>
              </w:rPr>
              <w:t>advertis</w:t>
            </w:r>
            <w:r w:rsidR="00AC1BE6">
              <w:rPr>
                <w:color w:val="000000" w:themeColor="text1"/>
              </w:rPr>
              <w:t xml:space="preserve">ement </w:t>
            </w:r>
            <w:r w:rsidRPr="00785973">
              <w:rPr>
                <w:color w:val="000000" w:themeColor="text1"/>
              </w:rPr>
              <w:t xml:space="preserve">must always be clearly identified so that </w:t>
            </w:r>
            <w:r w:rsidR="00AC1BE6">
              <w:rPr>
                <w:color w:val="000000" w:themeColor="text1"/>
              </w:rPr>
              <w:t>recip</w:t>
            </w:r>
            <w:r w:rsidR="00283536">
              <w:rPr>
                <w:color w:val="000000" w:themeColor="text1"/>
              </w:rPr>
              <w:t xml:space="preserve">ients can identify the source and </w:t>
            </w:r>
            <w:r w:rsidRPr="00785973">
              <w:rPr>
                <w:color w:val="000000" w:themeColor="text1"/>
              </w:rPr>
              <w:t>contact it without difficulty.</w:t>
            </w:r>
            <w:r w:rsidR="00E72B65">
              <w:rPr>
                <w:color w:val="000000" w:themeColor="text1"/>
              </w:rPr>
              <w:t xml:space="preserve"> </w:t>
            </w:r>
            <w:r w:rsidRPr="00785973">
              <w:rPr>
                <w:color w:val="000000" w:themeColor="text1"/>
              </w:rPr>
              <w:t>Article 20</w:t>
            </w:r>
            <w:r w:rsidR="00020F72">
              <w:rPr>
                <w:color w:val="000000" w:themeColor="text1"/>
              </w:rPr>
              <w:t xml:space="preserve">, </w:t>
            </w:r>
            <w:r w:rsidRPr="00785973">
              <w:rPr>
                <w:color w:val="000000" w:themeColor="text1"/>
              </w:rPr>
              <w:t>Information required on commercial communications, promotional offers and contests</w:t>
            </w:r>
            <w:r w:rsidR="00020F72">
              <w:rPr>
                <w:color w:val="000000" w:themeColor="text1"/>
              </w:rPr>
              <w:t xml:space="preserve">, </w:t>
            </w:r>
            <w:r w:rsidRPr="00785973">
              <w:rPr>
                <w:color w:val="000000" w:themeColor="text1"/>
              </w:rPr>
              <w:t>Section 1</w:t>
            </w:r>
            <w:r w:rsidR="00020F72">
              <w:rPr>
                <w:color w:val="000000" w:themeColor="text1"/>
              </w:rPr>
              <w:t xml:space="preserve"> states</w:t>
            </w:r>
            <w:r w:rsidRPr="00785973">
              <w:rPr>
                <w:color w:val="000000" w:themeColor="text1"/>
              </w:rPr>
              <w:t xml:space="preserve">: “Commercial communications made electronically must be clearly identifiable as such, and the natural or legal person on whose behalf they are made must also be clearly identifiable.” </w:t>
            </w:r>
            <w:hyperlink w:history="1">
              <w:r w:rsidRPr="00785973">
                <w:rPr>
                  <w:rStyle w:val="Hyperlink"/>
                  <w:color w:val="000000" w:themeColor="text1"/>
                </w:rPr>
                <w:t>LSSI</w:t>
              </w:r>
            </w:hyperlink>
          </w:p>
          <w:p w14:paraId="63A8B9AE" w14:textId="77777777" w:rsidR="009D05D7" w:rsidRDefault="009D05D7" w:rsidP="009D05D7">
            <w:pPr>
              <w:cnfStyle w:val="000000000000" w:firstRow="0" w:lastRow="0" w:firstColumn="0" w:lastColumn="0" w:oddVBand="0" w:evenVBand="0" w:oddHBand="0" w:evenHBand="0" w:firstRowFirstColumn="0" w:firstRowLastColumn="0" w:lastRowFirstColumn="0" w:lastRowLastColumn="0"/>
            </w:pPr>
          </w:p>
          <w:p w14:paraId="5AE827F8" w14:textId="77777777" w:rsidR="009D05D7" w:rsidRDefault="00D97AF7" w:rsidP="009D05D7">
            <w:pPr>
              <w:cnfStyle w:val="000000000000" w:firstRow="0" w:lastRow="0" w:firstColumn="0" w:lastColumn="0" w:oddVBand="0" w:evenVBand="0" w:oddHBand="0" w:evenHBand="0" w:firstRowFirstColumn="0" w:firstRowLastColumn="0" w:lastRowFirstColumn="0" w:lastRowLastColumn="0"/>
            </w:pPr>
            <w:r>
              <w:t>Failure to comply with the provisions of Article 20 for commercial communications, promotional offers and contests, qualifies as a minor infringement. For committing such an infringement, a fine of up to</w:t>
            </w:r>
          </w:p>
          <w:p w14:paraId="1752342E" w14:textId="77777777" w:rsidR="009D05D7" w:rsidRDefault="00D97AF7" w:rsidP="009D05D7">
            <w:pPr>
              <w:cnfStyle w:val="000000000000" w:firstRow="0" w:lastRow="0" w:firstColumn="0" w:lastColumn="0" w:oddVBand="0" w:evenVBand="0" w:oddHBand="0" w:evenHBand="0" w:firstRowFirstColumn="0" w:firstRowLastColumn="0" w:lastRowFirstColumn="0" w:lastRowLastColumn="0"/>
            </w:pPr>
            <w:r>
              <w:t>30,000 euro will be imposed’ (GALA 2019: 874).</w:t>
            </w:r>
          </w:p>
          <w:p w14:paraId="47A88F71" w14:textId="77777777" w:rsidR="009D05D7" w:rsidRDefault="009D05D7" w:rsidP="009D05D7">
            <w:pPr>
              <w:cnfStyle w:val="000000000000" w:firstRow="0" w:lastRow="0" w:firstColumn="0" w:lastColumn="0" w:oddVBand="0" w:evenVBand="0" w:oddHBand="0" w:evenHBand="0" w:firstRowFirstColumn="0" w:firstRowLastColumn="0" w:lastRowFirstColumn="0" w:lastRowLastColumn="0"/>
            </w:pPr>
          </w:p>
          <w:p w14:paraId="2893CDE0" w14:textId="77777777" w:rsidR="009D05D7" w:rsidRDefault="00D97AF7" w:rsidP="009D05D7">
            <w:pPr>
              <w:cnfStyle w:val="000000000000" w:firstRow="0" w:lastRow="0" w:firstColumn="0" w:lastColumn="0" w:oddVBand="0" w:evenVBand="0" w:oddHBand="0" w:evenHBand="0" w:firstRowFirstColumn="0" w:firstRowLastColumn="0" w:lastRowFirstColumn="0" w:lastRowLastColumn="0"/>
            </w:pPr>
            <w:r>
              <w:t>In addition to the trademark legal provisions that may be applicable, it is considered unfair to promote</w:t>
            </w:r>
          </w:p>
          <w:p w14:paraId="494DCC76" w14:textId="77777777" w:rsidR="009D05D7" w:rsidRDefault="00D97AF7" w:rsidP="009D05D7">
            <w:pPr>
              <w:cnfStyle w:val="000000000000" w:firstRow="0" w:lastRow="0" w:firstColumn="0" w:lastColumn="0" w:oddVBand="0" w:evenVBand="0" w:oddHBand="0" w:evenHBand="0" w:firstRowFirstColumn="0" w:firstRowLastColumn="0" w:lastRowFirstColumn="0" w:lastRowLastColumn="0"/>
            </w:pPr>
            <w:r>
              <w:t>a product similar to a product made by a particular manufacturer in such a manner as to deliberately</w:t>
            </w:r>
          </w:p>
          <w:p w14:paraId="48A9ACA6" w14:textId="77777777" w:rsidR="009D05D7" w:rsidRDefault="00D97AF7" w:rsidP="009D05D7">
            <w:pPr>
              <w:cnfStyle w:val="000000000000" w:firstRow="0" w:lastRow="0" w:firstColumn="0" w:lastColumn="0" w:oddVBand="0" w:evenVBand="0" w:oddHBand="0" w:evenHBand="0" w:firstRowFirstColumn="0" w:firstRowLastColumn="0" w:lastRowFirstColumn="0" w:lastRowLastColumn="0"/>
            </w:pPr>
            <w:r>
              <w:t>mislead the consumer into believing that the product is made by that same manufacturer when it is</w:t>
            </w:r>
          </w:p>
          <w:p w14:paraId="305137B8" w14:textId="77777777" w:rsidR="00905113" w:rsidRPr="00A847B4" w:rsidRDefault="00D97AF7" w:rsidP="00A847B4">
            <w:pPr>
              <w:spacing w:line="276" w:lineRule="auto"/>
              <w:cnfStyle w:val="000000000000" w:firstRow="0" w:lastRow="0" w:firstColumn="0" w:lastColumn="0" w:oddVBand="0" w:evenVBand="0" w:oddHBand="0" w:evenHBand="0" w:firstRowFirstColumn="0" w:firstRowLastColumn="0" w:lastRowFirstColumn="0" w:lastRowLastColumn="0"/>
            </w:pPr>
            <w:r>
              <w:t>not’ (GALA 2019: 874).</w:t>
            </w:r>
          </w:p>
        </w:tc>
      </w:tr>
      <w:tr w:rsidR="000F492D" w14:paraId="441DBFC9" w14:textId="77777777" w:rsidTr="33F03C2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64F310A0" w14:textId="77777777" w:rsidR="005D617A" w:rsidRPr="00203503" w:rsidRDefault="00D97AF7" w:rsidP="005D617A">
            <w:pPr>
              <w:spacing w:line="276" w:lineRule="auto"/>
              <w:rPr>
                <w:rFonts w:cs="Arial"/>
                <w:color w:val="747474" w:themeColor="background2" w:themeShade="80"/>
              </w:rPr>
            </w:pPr>
            <w:r>
              <w:rPr>
                <w:rFonts w:cs="Arial"/>
                <w:color w:val="747474" w:themeColor="background2" w:themeShade="80"/>
              </w:rPr>
              <w:t>6.3</w:t>
            </w:r>
          </w:p>
        </w:tc>
        <w:tc>
          <w:tcPr>
            <w:tcW w:w="2126" w:type="dxa"/>
            <w:tcBorders>
              <w:top w:val="none" w:sz="0" w:space="0" w:color="auto"/>
              <w:bottom w:val="none" w:sz="0" w:space="0" w:color="auto"/>
            </w:tcBorders>
          </w:tcPr>
          <w:p w14:paraId="5BD1C694" w14:textId="77777777" w:rsidR="005D617A" w:rsidRDefault="00D97AF7" w:rsidP="005D617A">
            <w:pPr>
              <w:pStyle w:val="Subjectcolumntext"/>
              <w:cnfStyle w:val="000000100000" w:firstRow="0" w:lastRow="0" w:firstColumn="0" w:lastColumn="0" w:oddVBand="0" w:evenVBand="0" w:oddHBand="1" w:evenHBand="0" w:firstRowFirstColumn="0" w:firstRowLastColumn="0" w:lastRowFirstColumn="0" w:lastRowLastColumn="0"/>
            </w:pPr>
            <w:r w:rsidRPr="004E1171">
              <w:t>Are there (general) disclosure or other obligations when integrating advertising content with other content?</w:t>
            </w:r>
          </w:p>
        </w:tc>
        <w:tc>
          <w:tcPr>
            <w:tcW w:w="2127" w:type="dxa"/>
            <w:tcBorders>
              <w:top w:val="none" w:sz="0" w:space="0" w:color="auto"/>
              <w:bottom w:val="none" w:sz="0" w:space="0" w:color="auto"/>
            </w:tcBorders>
          </w:tcPr>
          <w:p w14:paraId="19BC10A8" w14:textId="77777777" w:rsidR="005D617A" w:rsidRDefault="005D617A" w:rsidP="005D617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D7BE4B" w14:textId="77777777" w:rsidR="00F3117F" w:rsidRPr="00F3117F" w:rsidRDefault="00D97AF7" w:rsidP="00F3117F">
            <w:pPr>
              <w:cnfStyle w:val="000000100000" w:firstRow="0" w:lastRow="0" w:firstColumn="0" w:lastColumn="0" w:oddVBand="0" w:evenVBand="0" w:oddHBand="1" w:evenHBand="0" w:firstRowFirstColumn="0" w:firstRowLastColumn="0" w:lastRowFirstColumn="0" w:lastRowLastColumn="0"/>
              <w:rPr>
                <w:bCs/>
                <w:color w:val="000000" w:themeColor="text1"/>
              </w:rPr>
            </w:pPr>
            <w:r w:rsidRPr="00F3117F">
              <w:rPr>
                <w:bCs/>
                <w:color w:val="000000" w:themeColor="text1"/>
              </w:rPr>
              <w:t xml:space="preserve">The </w:t>
            </w:r>
            <w:r>
              <w:rPr>
                <w:bCs/>
                <w:color w:val="000000" w:themeColor="text1"/>
              </w:rPr>
              <w:t xml:space="preserve">general </w:t>
            </w:r>
            <w:r w:rsidRPr="00F3117F">
              <w:rPr>
                <w:bCs/>
                <w:color w:val="000000" w:themeColor="text1"/>
              </w:rPr>
              <w:t xml:space="preserve">provisions of </w:t>
            </w:r>
            <w:r w:rsidRPr="00F3117F">
              <w:rPr>
                <w:b/>
                <w:color w:val="000000" w:themeColor="text1"/>
              </w:rPr>
              <w:t>General Advertising Law 34/1988</w:t>
            </w:r>
            <w:r w:rsidRPr="00F3117F">
              <w:rPr>
                <w:bCs/>
                <w:color w:val="000000" w:themeColor="text1"/>
              </w:rPr>
              <w:t xml:space="preserve"> (LGP) and </w:t>
            </w:r>
            <w:r w:rsidRPr="00F3117F">
              <w:rPr>
                <w:b/>
                <w:color w:val="000000" w:themeColor="text1"/>
              </w:rPr>
              <w:t xml:space="preserve">Information Society Services Law 34/2002 </w:t>
            </w:r>
            <w:r w:rsidRPr="00F3117F">
              <w:rPr>
                <w:bCs/>
                <w:color w:val="000000" w:themeColor="text1"/>
              </w:rPr>
              <w:t>(LSSI) apply.</w:t>
            </w:r>
          </w:p>
          <w:p w14:paraId="15AC251B" w14:textId="77777777" w:rsidR="00F3117F" w:rsidRDefault="00F3117F" w:rsidP="00660593">
            <w:pPr>
              <w:cnfStyle w:val="000000100000" w:firstRow="0" w:lastRow="0" w:firstColumn="0" w:lastColumn="0" w:oddVBand="0" w:evenVBand="0" w:oddHBand="1" w:evenHBand="0" w:firstRowFirstColumn="0" w:firstRowLastColumn="0" w:lastRowFirstColumn="0" w:lastRowLastColumn="0"/>
              <w:rPr>
                <w:b/>
                <w:color w:val="000000" w:themeColor="text1"/>
              </w:rPr>
            </w:pPr>
          </w:p>
          <w:p w14:paraId="081838D4" w14:textId="77777777" w:rsidR="00F30B25" w:rsidRDefault="00D97AF7" w:rsidP="00660593">
            <w:pPr>
              <w:cnfStyle w:val="000000100000" w:firstRow="0" w:lastRow="0" w:firstColumn="0" w:lastColumn="0" w:oddVBand="0" w:evenVBand="0" w:oddHBand="1" w:evenHBand="0" w:firstRowFirstColumn="0" w:firstRowLastColumn="0" w:lastRowFirstColumn="0" w:lastRowLastColumn="0"/>
              <w:rPr>
                <w:color w:val="000000" w:themeColor="text1"/>
              </w:rPr>
            </w:pPr>
            <w:r w:rsidRPr="005D617A">
              <w:rPr>
                <w:b/>
                <w:color w:val="000000" w:themeColor="text1"/>
              </w:rPr>
              <w:t>The new Law 13/2022 General Audiovisual Communications (LGCA</w:t>
            </w:r>
            <w:r w:rsidRPr="005D617A">
              <w:rPr>
                <w:color w:val="000000" w:themeColor="text1"/>
              </w:rPr>
              <w:t>), Art. 121</w:t>
            </w:r>
            <w:r w:rsidR="00337365">
              <w:rPr>
                <w:color w:val="000000" w:themeColor="text1"/>
              </w:rPr>
              <w:t xml:space="preserve"> states</w:t>
            </w:r>
            <w:r w:rsidRPr="005D617A">
              <w:rPr>
                <w:color w:val="000000" w:themeColor="text1"/>
              </w:rPr>
              <w:t xml:space="preserve">: “Audiovisual commercial communications must be clearly </w:t>
            </w:r>
            <w:r w:rsidRPr="005D617A">
              <w:rPr>
                <w:color w:val="000000" w:themeColor="text1"/>
              </w:rPr>
              <w:lastRenderedPageBreak/>
              <w:t xml:space="preserve">differentiated from editorial content through optical and/or acoustic and/or spatial mechanisms”. </w:t>
            </w:r>
          </w:p>
          <w:p w14:paraId="2448E373" w14:textId="77777777" w:rsidR="00F30B25" w:rsidRDefault="00F30B25" w:rsidP="00660593">
            <w:pPr>
              <w:cnfStyle w:val="000000100000" w:firstRow="0" w:lastRow="0" w:firstColumn="0" w:lastColumn="0" w:oddVBand="0" w:evenVBand="0" w:oddHBand="1" w:evenHBand="0" w:firstRowFirstColumn="0" w:firstRowLastColumn="0" w:lastRowFirstColumn="0" w:lastRowLastColumn="0"/>
              <w:rPr>
                <w:color w:val="000000" w:themeColor="text1"/>
              </w:rPr>
            </w:pPr>
          </w:p>
          <w:p w14:paraId="1B4A82BA" w14:textId="77777777" w:rsidR="00F30B25" w:rsidRPr="00F30B25" w:rsidRDefault="00D97AF7" w:rsidP="00F30B25">
            <w:pPr>
              <w:cnfStyle w:val="000000100000" w:firstRow="0" w:lastRow="0" w:firstColumn="0" w:lastColumn="0" w:oddVBand="0" w:evenVBand="0" w:oddHBand="1" w:evenHBand="0" w:firstRowFirstColumn="0" w:firstRowLastColumn="0" w:lastRowFirstColumn="0" w:lastRowLastColumn="0"/>
              <w:rPr>
                <w:color w:val="000000" w:themeColor="text1"/>
                <w:lang w:val="en-US"/>
              </w:rPr>
            </w:pPr>
            <w:r w:rsidRPr="00F30B25">
              <w:rPr>
                <w:color w:val="000000" w:themeColor="text1"/>
                <w:lang w:val="en-US"/>
              </w:rPr>
              <w:t xml:space="preserve">According to </w:t>
            </w:r>
            <w:r>
              <w:rPr>
                <w:color w:val="000000" w:themeColor="text1"/>
                <w:lang w:val="en-US"/>
              </w:rPr>
              <w:t xml:space="preserve">LGCA </w:t>
            </w:r>
            <w:r w:rsidRPr="00F30B25">
              <w:rPr>
                <w:color w:val="000000" w:themeColor="text1"/>
                <w:lang w:val="en-US"/>
              </w:rPr>
              <w:t>(</w:t>
            </w:r>
            <w:hyperlink r:id="rId154" w:history="1">
              <w:r w:rsidRPr="00F30B25">
                <w:rPr>
                  <w:rStyle w:val="Hyperlink"/>
                  <w:lang w:val="en-US"/>
                </w:rPr>
                <w:t>BOE, 2022a</w:t>
              </w:r>
            </w:hyperlink>
            <w:r w:rsidRPr="00F30B25">
              <w:rPr>
                <w:color w:val="000000" w:themeColor="text1"/>
                <w:lang w:val="en-US"/>
              </w:rPr>
              <w:t>), commercial communication whose characteristics are likely to mislead the viewer as to its advertising nature shall include a permanent and legible overprint with the indication 'advertising'.</w:t>
            </w:r>
          </w:p>
          <w:p w14:paraId="1485EC25" w14:textId="77777777" w:rsidR="00F30B25" w:rsidRDefault="00F30B25" w:rsidP="00660593">
            <w:pPr>
              <w:cnfStyle w:val="000000100000" w:firstRow="0" w:lastRow="0" w:firstColumn="0" w:lastColumn="0" w:oddVBand="0" w:evenVBand="0" w:oddHBand="1" w:evenHBand="0" w:firstRowFirstColumn="0" w:firstRowLastColumn="0" w:lastRowFirstColumn="0" w:lastRowLastColumn="0"/>
              <w:rPr>
                <w:color w:val="000000" w:themeColor="text1"/>
              </w:rPr>
            </w:pPr>
          </w:p>
          <w:p w14:paraId="70C1015C" w14:textId="5619D58D" w:rsidR="005D617A" w:rsidRDefault="00D97AF7" w:rsidP="00660593">
            <w:pPr>
              <w:cnfStyle w:val="000000100000" w:firstRow="0" w:lastRow="0" w:firstColumn="0" w:lastColumn="0" w:oddVBand="0" w:evenVBand="0" w:oddHBand="1" w:evenHBand="0" w:firstRowFirstColumn="0" w:firstRowLastColumn="0" w:lastRowFirstColumn="0" w:lastRowLastColumn="0"/>
              <w:rPr>
                <w:color w:val="000000" w:themeColor="text1"/>
              </w:rPr>
            </w:pPr>
            <w:r w:rsidRPr="005D617A">
              <w:rPr>
                <w:color w:val="000000" w:themeColor="text1"/>
              </w:rPr>
              <w:t>With respect to product placement, article 129 establishes that “product placement may be carried out in general in all programming except in newscasts and programs with current information content, programs related to consumer protection, religious programs and children's programs. Furthermore, this action must meet certain requirements that do not influence the editorial content in a way that affects the schedule, programming or editorial independence of the service provider; Nor may it directly encourage the purchase and it must be duly identified that it is</w:t>
            </w:r>
            <w:r w:rsidR="002C631B">
              <w:rPr>
                <w:color w:val="000000" w:themeColor="text1"/>
              </w:rPr>
              <w:t xml:space="preserve"> </w:t>
            </w:r>
            <w:r w:rsidRPr="005D617A">
              <w:rPr>
                <w:color w:val="000000" w:themeColor="text1"/>
              </w:rPr>
              <w:t>product placement both at the beginning and at the end of the program</w:t>
            </w:r>
            <w:r w:rsidR="0061335D">
              <w:rPr>
                <w:color w:val="000000" w:themeColor="text1"/>
              </w:rPr>
              <w:t>me.</w:t>
            </w:r>
          </w:p>
          <w:p w14:paraId="375E0FEC" w14:textId="77777777" w:rsidR="00F30B25" w:rsidRDefault="00F30B25" w:rsidP="00660593">
            <w:pPr>
              <w:cnfStyle w:val="000000100000" w:firstRow="0" w:lastRow="0" w:firstColumn="0" w:lastColumn="0" w:oddVBand="0" w:evenVBand="0" w:oddHBand="1" w:evenHBand="0" w:firstRowFirstColumn="0" w:firstRowLastColumn="0" w:lastRowFirstColumn="0" w:lastRowLastColumn="0"/>
              <w:rPr>
                <w:color w:val="000000" w:themeColor="text1"/>
              </w:rPr>
            </w:pPr>
          </w:p>
          <w:p w14:paraId="2E95A0FC" w14:textId="77777777" w:rsidR="00F30B25" w:rsidRDefault="00D97AF7" w:rsidP="00F30B25">
            <w:pPr>
              <w:cnfStyle w:val="000000100000" w:firstRow="0" w:lastRow="0" w:firstColumn="0" w:lastColumn="0" w:oddVBand="0" w:evenVBand="0" w:oddHBand="1" w:evenHBand="0" w:firstRowFirstColumn="0" w:firstRowLastColumn="0" w:lastRowFirstColumn="0" w:lastRowLastColumn="0"/>
              <w:rPr>
                <w:rFonts w:cs="Arial"/>
              </w:rPr>
            </w:pPr>
            <w:r w:rsidRPr="00F30B25">
              <w:rPr>
                <w:rFonts w:cs="Arial"/>
              </w:rPr>
              <w:t>The LGCA requires that any type of content that, when broadcast, could confuse the viewer about its actors or characters must permanently include, in a way that is clearly legible, the word ‘advertising’ (GALA 2019: 875).</w:t>
            </w:r>
          </w:p>
          <w:p w14:paraId="3D4DABA1" w14:textId="77777777" w:rsidR="00F30B25" w:rsidRDefault="00F30B25" w:rsidP="00F30B25">
            <w:pPr>
              <w:cnfStyle w:val="000000100000" w:firstRow="0" w:lastRow="0" w:firstColumn="0" w:lastColumn="0" w:oddVBand="0" w:evenVBand="0" w:oddHBand="1" w:evenHBand="0" w:firstRowFirstColumn="0" w:firstRowLastColumn="0" w:lastRowFirstColumn="0" w:lastRowLastColumn="0"/>
              <w:rPr>
                <w:rFonts w:cs="Arial"/>
              </w:rPr>
            </w:pPr>
          </w:p>
          <w:p w14:paraId="67BE0F49" w14:textId="77777777" w:rsidR="00F30B25" w:rsidRPr="00F30B25" w:rsidRDefault="00D97AF7" w:rsidP="00F30B25">
            <w:pPr>
              <w:cnfStyle w:val="000000100000" w:firstRow="0" w:lastRow="0" w:firstColumn="0" w:lastColumn="0" w:oddVBand="0" w:evenVBand="0" w:oddHBand="1" w:evenHBand="0" w:firstRowFirstColumn="0" w:firstRowLastColumn="0" w:lastRowFirstColumn="0" w:lastRowLastColumn="0"/>
              <w:rPr>
                <w:rFonts w:cs="Arial"/>
              </w:rPr>
            </w:pPr>
            <w:r>
              <w:rPr>
                <w:rFonts w:cs="Arial"/>
              </w:rPr>
              <w:t>C</w:t>
            </w:r>
            <w:r w:rsidRPr="00F30B25">
              <w:rPr>
                <w:rFonts w:cs="Arial"/>
              </w:rPr>
              <w:t>ommercial communications sent by electronic means, must include</w:t>
            </w:r>
            <w:r>
              <w:rPr>
                <w:rFonts w:cs="Arial"/>
              </w:rPr>
              <w:t xml:space="preserve"> </w:t>
            </w:r>
            <w:r w:rsidRPr="00F30B25">
              <w:rPr>
                <w:rFonts w:cs="Arial"/>
              </w:rPr>
              <w:t>at the outset of such communication, either “advertising” or “advertisement”’ (GALA 2019: 875).</w:t>
            </w:r>
          </w:p>
          <w:p w14:paraId="015D4E85" w14:textId="77777777" w:rsidR="0061335D" w:rsidRPr="005D617A" w:rsidRDefault="0061335D" w:rsidP="005D617A">
            <w:pPr>
              <w:cnfStyle w:val="000000100000" w:firstRow="0" w:lastRow="0" w:firstColumn="0" w:lastColumn="0" w:oddVBand="0" w:evenVBand="0" w:oddHBand="1" w:evenHBand="0" w:firstRowFirstColumn="0" w:firstRowLastColumn="0" w:lastRowFirstColumn="0" w:lastRowLastColumn="0"/>
              <w:rPr>
                <w:color w:val="000000" w:themeColor="text1"/>
              </w:rPr>
            </w:pPr>
          </w:p>
          <w:p w14:paraId="739A067A" w14:textId="77777777" w:rsidR="005D617A" w:rsidRDefault="00D97AF7" w:rsidP="005D617A">
            <w:pPr>
              <w:cnfStyle w:val="000000100000" w:firstRow="0" w:lastRow="0" w:firstColumn="0" w:lastColumn="0" w:oddVBand="0" w:evenVBand="0" w:oddHBand="1" w:evenHBand="0" w:firstRowFirstColumn="0" w:firstRowLastColumn="0" w:lastRowFirstColumn="0" w:lastRowLastColumn="0"/>
              <w:rPr>
                <w:color w:val="000000" w:themeColor="text1"/>
              </w:rPr>
            </w:pPr>
            <w:r w:rsidRPr="005D617A">
              <w:rPr>
                <w:b/>
                <w:color w:val="000000" w:themeColor="text1"/>
              </w:rPr>
              <w:t>Law 3/1991 on Unfair Competition</w:t>
            </w:r>
            <w:r w:rsidRPr="005D617A">
              <w:rPr>
                <w:color w:val="000000" w:themeColor="text1"/>
              </w:rPr>
              <w:t xml:space="preserve"> </w:t>
            </w:r>
            <w:r w:rsidRPr="005D617A">
              <w:rPr>
                <w:b/>
                <w:color w:val="000000" w:themeColor="text1"/>
              </w:rPr>
              <w:t>(LCD)</w:t>
            </w:r>
            <w:r w:rsidRPr="005D617A">
              <w:rPr>
                <w:color w:val="000000" w:themeColor="text1"/>
              </w:rPr>
              <w:t xml:space="preserve">,(Art. 20) Deceptive practices due to consumer confusion are considered </w:t>
            </w:r>
            <w:r w:rsidR="00F30B25">
              <w:rPr>
                <w:color w:val="000000" w:themeColor="text1"/>
              </w:rPr>
              <w:t>‘</w:t>
            </w:r>
            <w:r w:rsidRPr="005D617A">
              <w:rPr>
                <w:color w:val="000000" w:themeColor="text1"/>
              </w:rPr>
              <w:t>those commercial practices, including comparative advertising, that, in their factual context and taking into account all their characteristics and circumstances, create confusion, including the risk of association, with any goods or services, registered trademarks, trade names or other distinctive marks of a competitor, provided that they are likely to affect the economic behaviour of consumers and users</w:t>
            </w:r>
            <w:r w:rsidR="00F30B25">
              <w:rPr>
                <w:color w:val="000000" w:themeColor="text1"/>
              </w:rPr>
              <w:t>’</w:t>
            </w:r>
            <w:r w:rsidRPr="005D617A">
              <w:rPr>
                <w:color w:val="000000" w:themeColor="text1"/>
              </w:rPr>
              <w:t>.</w:t>
            </w:r>
          </w:p>
          <w:p w14:paraId="76F75F11" w14:textId="77777777" w:rsidR="00F30B25" w:rsidRDefault="00F30B25" w:rsidP="005D617A">
            <w:pPr>
              <w:cnfStyle w:val="000000100000" w:firstRow="0" w:lastRow="0" w:firstColumn="0" w:lastColumn="0" w:oddVBand="0" w:evenVBand="0" w:oddHBand="1" w:evenHBand="0" w:firstRowFirstColumn="0" w:firstRowLastColumn="0" w:lastRowFirstColumn="0" w:lastRowLastColumn="0"/>
              <w:rPr>
                <w:color w:val="000000" w:themeColor="text1"/>
              </w:rPr>
            </w:pPr>
          </w:p>
          <w:p w14:paraId="0B07185F" w14:textId="3822746A" w:rsidR="00FA6BE1" w:rsidRDefault="00D97AF7" w:rsidP="00F3117F">
            <w:pPr>
              <w:cnfStyle w:val="000000100000" w:firstRow="0" w:lastRow="0" w:firstColumn="0" w:lastColumn="0" w:oddVBand="0" w:evenVBand="0" w:oddHBand="1" w:evenHBand="0" w:firstRowFirstColumn="0" w:firstRowLastColumn="0" w:lastRowFirstColumn="0" w:lastRowLastColumn="0"/>
              <w:rPr>
                <w:color w:val="000000" w:themeColor="text1"/>
              </w:rPr>
            </w:pPr>
            <w:r w:rsidRPr="00F30B25">
              <w:rPr>
                <w:rFonts w:cs="Arial"/>
                <w:color w:val="000000" w:themeColor="text1"/>
              </w:rPr>
              <w:t>According to the</w:t>
            </w:r>
            <w:r w:rsidRPr="00F30B25">
              <w:rPr>
                <w:rFonts w:cs="Arial"/>
              </w:rPr>
              <w:t xml:space="preserve"> LCD (and the UCPD that is transposed), it is considered as misleading advertising to use editorial content in the media to promote a product where a trader has paid for the promotion, without making that clear in the content or by images or sounds clearly identifiable by the consumer (advertorial)’.</w:t>
            </w:r>
            <w:r>
              <w:rPr>
                <w:rFonts w:cs="Arial"/>
              </w:rPr>
              <w:t xml:space="preserve"> </w:t>
            </w:r>
            <w:r w:rsidR="005D617A" w:rsidRPr="005D617A">
              <w:rPr>
                <w:color w:val="000000" w:themeColor="text1"/>
              </w:rPr>
              <w:t>These same rules also apply to the new phenomena of influencers</w:t>
            </w:r>
            <w:r w:rsidR="002C631B">
              <w:rPr>
                <w:color w:val="000000" w:themeColor="text1"/>
              </w:rPr>
              <w:t>,</w:t>
            </w:r>
            <w:r w:rsidR="005D617A" w:rsidRPr="005D617A">
              <w:rPr>
                <w:color w:val="000000" w:themeColor="text1"/>
              </w:rPr>
              <w:t xml:space="preserve"> who must respect the rules of advertising identification, protection of underage audiences, the prohibition of advertising of certain products such as tobacco, alcohol or medicines; as well as respect the rules on time restrictions for certain </w:t>
            </w:r>
            <w:r w:rsidR="005D617A" w:rsidRPr="005D617A">
              <w:rPr>
                <w:color w:val="000000" w:themeColor="text1"/>
              </w:rPr>
              <w:lastRenderedPageBreak/>
              <w:t>products as established by the General Advertising Law</w:t>
            </w:r>
            <w:r>
              <w:rPr>
                <w:color w:val="000000" w:themeColor="text1"/>
              </w:rPr>
              <w:t xml:space="preserve">. </w:t>
            </w:r>
            <w:r w:rsidRPr="00FA6BE1">
              <w:rPr>
                <w:color w:val="000000" w:themeColor="text1"/>
              </w:rPr>
              <w:t xml:space="preserve">‘Spanish law requires the term “advertising” or “ad” to be included when it is part of a campaign’ (GALA 2019: 875. </w:t>
            </w:r>
          </w:p>
          <w:p w14:paraId="2A3EBE78" w14:textId="77777777" w:rsidR="00F30B25" w:rsidRPr="00FA6BE1" w:rsidRDefault="00D97AF7" w:rsidP="00F3117F">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In </w:t>
            </w:r>
            <w:r w:rsidR="005D617A" w:rsidRPr="005D617A">
              <w:rPr>
                <w:color w:val="000000" w:themeColor="text1"/>
              </w:rPr>
              <w:t xml:space="preserve">2020 </w:t>
            </w:r>
            <w:r w:rsidR="005D617A" w:rsidRPr="001D1BAD">
              <w:rPr>
                <w:rFonts w:cs="Arial"/>
                <w:color w:val="000000" w:themeColor="text1"/>
              </w:rPr>
              <w:t xml:space="preserve">AUTOCONTROL published its </w:t>
            </w:r>
            <w:hyperlink r:id="rId155" w:history="1">
              <w:r w:rsidR="005D617A" w:rsidRPr="001D1BAD">
                <w:rPr>
                  <w:rStyle w:val="Hyperlink"/>
                  <w:rFonts w:cs="Arial"/>
                  <w:color w:val="000000" w:themeColor="text1"/>
                </w:rPr>
                <w:t>Code of Conduct on the use of Influencers in Advertising</w:t>
              </w:r>
            </w:hyperlink>
            <w:r w:rsidR="005D617A" w:rsidRPr="001D1BAD">
              <w:rPr>
                <w:rFonts w:cs="Arial"/>
                <w:color w:val="000000" w:themeColor="text1"/>
              </w:rPr>
              <w:t xml:space="preserve"> to promote more responsible advertising by these new agents.</w:t>
            </w:r>
            <w:r w:rsidR="009E5AE2" w:rsidRPr="001D1BAD">
              <w:rPr>
                <w:rFonts w:cs="Arial"/>
                <w:color w:val="000000" w:themeColor="text1"/>
              </w:rPr>
              <w:t xml:space="preserve"> </w:t>
            </w:r>
            <w:r w:rsidR="009E5AE2" w:rsidRPr="001D1BAD">
              <w:rPr>
                <w:rFonts w:eastAsia="Calibri" w:cs="Arial"/>
              </w:rPr>
              <w:t>The Code came into force in 2021, ‘one of the first steps to begin to regulate the commercial use of social networks’ (MPM 2022: 13).</w:t>
            </w:r>
          </w:p>
        </w:tc>
      </w:tr>
      <w:tr w:rsidR="000F492D" w14:paraId="7FBA3519" w14:textId="77777777" w:rsidTr="33F03C2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352B8" w14:textId="77777777" w:rsidR="005D617A" w:rsidRPr="00203503" w:rsidRDefault="00D97AF7" w:rsidP="005D617A">
            <w:pPr>
              <w:spacing w:line="276" w:lineRule="auto"/>
              <w:rPr>
                <w:rFonts w:cs="Arial"/>
                <w:color w:val="747474" w:themeColor="background2" w:themeShade="80"/>
              </w:rPr>
            </w:pPr>
            <w:r>
              <w:rPr>
                <w:rFonts w:cs="Arial"/>
                <w:color w:val="747474" w:themeColor="background2" w:themeShade="80"/>
              </w:rPr>
              <w:lastRenderedPageBreak/>
              <w:t>6.4</w:t>
            </w:r>
          </w:p>
        </w:tc>
        <w:tc>
          <w:tcPr>
            <w:tcW w:w="2126" w:type="dxa"/>
          </w:tcPr>
          <w:p w14:paraId="4B99285F" w14:textId="77777777" w:rsidR="005D617A" w:rsidRDefault="00D97AF7" w:rsidP="005D617A">
            <w:pPr>
              <w:pStyle w:val="Subjectcolumntext"/>
              <w:cnfStyle w:val="000000000000" w:firstRow="0" w:lastRow="0" w:firstColumn="0" w:lastColumn="0" w:oddVBand="0" w:evenVBand="0" w:oddHBand="0" w:evenHBand="0" w:firstRowFirstColumn="0" w:firstRowLastColumn="0" w:lastRowFirstColumn="0" w:lastRowLastColumn="0"/>
            </w:pPr>
            <w:r w:rsidRPr="004E1171">
              <w:t>What are the rules governing the use of endorsements and testimonials in advertising?</w:t>
            </w:r>
          </w:p>
        </w:tc>
        <w:tc>
          <w:tcPr>
            <w:tcW w:w="2127" w:type="dxa"/>
          </w:tcPr>
          <w:p w14:paraId="4DAEA1F2" w14:textId="77777777" w:rsidR="005D617A" w:rsidRDefault="005D617A" w:rsidP="005D617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87AE29" w14:textId="77777777" w:rsidR="00215FEC" w:rsidRPr="00215FEC" w:rsidRDefault="00D97AF7" w:rsidP="00215FEC">
            <w:pPr>
              <w:cnfStyle w:val="000000000000" w:firstRow="0" w:lastRow="0" w:firstColumn="0" w:lastColumn="0" w:oddVBand="0" w:evenVBand="0" w:oddHBand="0" w:evenHBand="0" w:firstRowFirstColumn="0" w:firstRowLastColumn="0" w:lastRowFirstColumn="0" w:lastRowLastColumn="0"/>
              <w:rPr>
                <w:rFonts w:eastAsia="Calibri" w:cs="Arial"/>
              </w:rPr>
            </w:pPr>
            <w:r w:rsidRPr="00215FEC">
              <w:rPr>
                <w:rFonts w:eastAsia="Calibri" w:cs="Arial"/>
                <w:color w:val="000000" w:themeColor="text1"/>
              </w:rPr>
              <w:t xml:space="preserve">In the EU, </w:t>
            </w:r>
            <w:r w:rsidRPr="00215FEC">
              <w:rPr>
                <w:rStyle w:val="normaltextrun"/>
                <w:rFonts w:eastAsia="Calibri" w:cs="Arial"/>
                <w:color w:val="000000" w:themeColor="text1"/>
              </w:rPr>
              <w:t>the Unfair Commercial Practices Directive (</w:t>
            </w:r>
            <w:hyperlink r:id="rId156" w:history="1">
              <w:r w:rsidRPr="00215FEC">
                <w:rPr>
                  <w:rStyle w:val="Hyperlink"/>
                  <w:rFonts w:cs="Arial"/>
                  <w:color w:val="0563C1"/>
                </w:rPr>
                <w:t>Directive 2005/29/EC</w:t>
              </w:r>
            </w:hyperlink>
            <w:r w:rsidRPr="00215FEC">
              <w:rPr>
                <w:rStyle w:val="normaltextrun"/>
                <w:rFonts w:eastAsia="Calibri" w:cs="Arial"/>
                <w:color w:val="000000" w:themeColor="text1"/>
              </w:rPr>
              <w:t>) includes commercial p</w:t>
            </w:r>
            <w:r w:rsidRPr="00215FEC">
              <w:rPr>
                <w:rFonts w:eastAsia="Calibri" w:cs="Arial"/>
                <w:color w:val="000000" w:themeColor="text1"/>
              </w:rPr>
              <w:t>ractices prohibited in all circumstances (‘blacklist’). The Amending Directive (EU) 2019/2161 has added several additional prohibited practices, with the publication of fake consumer reviews listed amongst them (AKA Annex I to Directive 2005/29/EC contains a list of 35 commercial practices that are considered unfair in all circumstances).</w:t>
            </w:r>
          </w:p>
          <w:p w14:paraId="53312E4A" w14:textId="77777777" w:rsidR="00B10A08" w:rsidRDefault="00B10A08" w:rsidP="004311A6">
            <w:pPr>
              <w:cnfStyle w:val="000000000000" w:firstRow="0" w:lastRow="0" w:firstColumn="0" w:lastColumn="0" w:oddVBand="0" w:evenVBand="0" w:oddHBand="0" w:evenHBand="0" w:firstRowFirstColumn="0" w:firstRowLastColumn="0" w:lastRowFirstColumn="0" w:lastRowLastColumn="0"/>
              <w:rPr>
                <w:rFonts w:cs="Arial"/>
                <w:color w:val="000000" w:themeColor="text1"/>
              </w:rPr>
            </w:pPr>
          </w:p>
          <w:p w14:paraId="20C9AD18" w14:textId="321A47E2" w:rsidR="000E45C1" w:rsidRDefault="00D97AF7" w:rsidP="004311A6">
            <w:pPr>
              <w:cnfStyle w:val="000000000000" w:firstRow="0" w:lastRow="0" w:firstColumn="0" w:lastColumn="0" w:oddVBand="0" w:evenVBand="0" w:oddHBand="0" w:evenHBand="0" w:firstRowFirstColumn="0" w:firstRowLastColumn="0" w:lastRowFirstColumn="0" w:lastRowLastColumn="0"/>
              <w:rPr>
                <w:color w:val="000000" w:themeColor="text1"/>
              </w:rPr>
            </w:pPr>
            <w:r w:rsidRPr="33F03C23">
              <w:rPr>
                <w:color w:val="000000" w:themeColor="text1"/>
              </w:rPr>
              <w:t>In Spain</w:t>
            </w:r>
            <w:r w:rsidR="04D2E678" w:rsidRPr="33F03C23">
              <w:rPr>
                <w:color w:val="000000" w:themeColor="text1"/>
              </w:rPr>
              <w:t xml:space="preserve">, beyond the transposition of EU Directives, </w:t>
            </w:r>
            <w:r w:rsidRPr="33F03C23">
              <w:rPr>
                <w:color w:val="000000" w:themeColor="text1"/>
              </w:rPr>
              <w:t>there are no general legal provisions that regulate the use of testimonials in advertising, except in relation to advertising of health products and advertising aimed at children</w:t>
            </w:r>
            <w:r w:rsidR="525ADBF3" w:rsidRPr="33F03C23">
              <w:rPr>
                <w:color w:val="000000" w:themeColor="text1"/>
              </w:rPr>
              <w:t>.</w:t>
            </w:r>
            <w:r w:rsidRPr="33F03C23">
              <w:rPr>
                <w:color w:val="000000" w:themeColor="text1"/>
              </w:rPr>
              <w:t xml:space="preserve"> Only the </w:t>
            </w:r>
            <w:r w:rsidR="1C3C1C6A" w:rsidRPr="33F03C23">
              <w:rPr>
                <w:color w:val="000000" w:themeColor="text1"/>
              </w:rPr>
              <w:t xml:space="preserve">Autocontrol </w:t>
            </w:r>
            <w:r w:rsidR="585B809B" w:rsidRPr="33F03C23">
              <w:rPr>
                <w:color w:val="000000" w:themeColor="text1"/>
              </w:rPr>
              <w:t xml:space="preserve">(2021) </w:t>
            </w:r>
            <w:r w:rsidRPr="33F03C23">
              <w:rPr>
                <w:color w:val="000000" w:themeColor="text1"/>
              </w:rPr>
              <w:t xml:space="preserve">Code of Advertising Practices </w:t>
            </w:r>
            <w:r w:rsidR="6133A53F" w:rsidRPr="33F03C23">
              <w:rPr>
                <w:color w:val="000000" w:themeColor="text1"/>
              </w:rPr>
              <w:t>(</w:t>
            </w:r>
            <w:hyperlink r:id="rId157">
              <w:r w:rsidR="6133A53F" w:rsidRPr="33F03C23">
                <w:rPr>
                  <w:rStyle w:val="Hyperlink"/>
                </w:rPr>
                <w:t>Código de Conducta Publicitari</w:t>
              </w:r>
            </w:hyperlink>
            <w:r w:rsidR="54917950" w:rsidRPr="33F03C23">
              <w:rPr>
                <w:rStyle w:val="Hyperlink"/>
              </w:rPr>
              <w:t>a</w:t>
            </w:r>
            <w:r w:rsidR="6133A53F" w:rsidRPr="33F03C23">
              <w:rPr>
                <w:color w:val="000000" w:themeColor="text1"/>
              </w:rPr>
              <w:t xml:space="preserve">) </w:t>
            </w:r>
            <w:r w:rsidRPr="33F03C23">
              <w:rPr>
                <w:color w:val="000000" w:themeColor="text1"/>
              </w:rPr>
              <w:t>establish</w:t>
            </w:r>
            <w:r w:rsidR="525ADBF3" w:rsidRPr="33F03C23">
              <w:rPr>
                <w:color w:val="000000" w:themeColor="text1"/>
              </w:rPr>
              <w:t>es</w:t>
            </w:r>
            <w:r w:rsidRPr="33F03C23">
              <w:rPr>
                <w:color w:val="000000" w:themeColor="text1"/>
              </w:rPr>
              <w:t xml:space="preserve"> in section 1</w:t>
            </w:r>
            <w:r w:rsidR="585B809B" w:rsidRPr="33F03C23">
              <w:rPr>
                <w:color w:val="000000" w:themeColor="text1"/>
              </w:rPr>
              <w:t>9</w:t>
            </w:r>
            <w:r w:rsidR="1E2AB1E4" w:rsidRPr="33F03C23">
              <w:rPr>
                <w:color w:val="000000" w:themeColor="text1"/>
              </w:rPr>
              <w:t xml:space="preserve">, </w:t>
            </w:r>
            <w:r w:rsidRPr="33F03C23">
              <w:rPr>
                <w:color w:val="000000" w:themeColor="text1"/>
              </w:rPr>
              <w:t>that “when commercial communications include recommendations and/or testimonials, that is, assertions from people outside the advertiser and who do not act as spokespersons for the advertiser, whether or not they are paid”</w:t>
            </w:r>
            <w:r w:rsidR="3A817967" w:rsidRPr="33F03C23">
              <w:rPr>
                <w:color w:val="000000" w:themeColor="text1"/>
              </w:rPr>
              <w:t>.</w:t>
            </w:r>
          </w:p>
          <w:p w14:paraId="74022DE2" w14:textId="77777777" w:rsidR="000E45C1" w:rsidRDefault="000E45C1" w:rsidP="00E478AC">
            <w:pPr>
              <w:cnfStyle w:val="000000000000" w:firstRow="0" w:lastRow="0" w:firstColumn="0" w:lastColumn="0" w:oddVBand="0" w:evenVBand="0" w:oddHBand="0" w:evenHBand="0" w:firstRowFirstColumn="0" w:firstRowLastColumn="0" w:lastRowFirstColumn="0" w:lastRowLastColumn="0"/>
              <w:rPr>
                <w:color w:val="000000" w:themeColor="text1"/>
              </w:rPr>
            </w:pPr>
          </w:p>
          <w:p w14:paraId="12A731D6" w14:textId="77777777" w:rsidR="002209E9" w:rsidRPr="00680B90" w:rsidRDefault="00D97AF7" w:rsidP="002209E9">
            <w:pPr>
              <w:cnfStyle w:val="000000000000" w:firstRow="0" w:lastRow="0" w:firstColumn="0" w:lastColumn="0" w:oddVBand="0" w:evenVBand="0" w:oddHBand="0" w:evenHBand="0" w:firstRowFirstColumn="0" w:firstRowLastColumn="0" w:lastRowFirstColumn="0" w:lastRowLastColumn="0"/>
              <w:rPr>
                <w:rStyle w:val="Hyperlink"/>
              </w:rPr>
            </w:pPr>
            <w:r w:rsidRPr="00E478AC">
              <w:rPr>
                <w:color w:val="000000" w:themeColor="text1"/>
              </w:rPr>
              <w:t xml:space="preserve">Furthermore, in </w:t>
            </w:r>
            <w:r>
              <w:rPr>
                <w:color w:val="000000" w:themeColor="text1"/>
              </w:rPr>
              <w:t>section 5 of Autocontrol’s 2020</w:t>
            </w:r>
            <w:r w:rsidR="0015578E">
              <w:rPr>
                <w:color w:val="000000" w:themeColor="text1"/>
              </w:rPr>
              <w:t xml:space="preserve"> </w:t>
            </w:r>
            <w:r w:rsidRPr="00E478AC">
              <w:rPr>
                <w:color w:val="000000" w:themeColor="text1"/>
              </w:rPr>
              <w:t>Code on the use of influencers in advertising</w:t>
            </w:r>
            <w:r>
              <w:rPr>
                <w:color w:val="000000" w:themeColor="text1"/>
              </w:rPr>
              <w:t xml:space="preserve"> (</w:t>
            </w:r>
            <w:r w:rsidR="00680B90">
              <w:rPr>
                <w:color w:val="000000" w:themeColor="text1"/>
              </w:rPr>
              <w:fldChar w:fldCharType="begin"/>
            </w:r>
            <w:r w:rsidR="00680B90">
              <w:rPr>
                <w:color w:val="000000" w:themeColor="text1"/>
              </w:rPr>
              <w:instrText>HYPERLINK "https://www.autocontrol.es/wp-content/uploads/2020/10/codigo-de-conducta-publicidad-influencers.pdf"</w:instrText>
            </w:r>
            <w:r w:rsidR="00680B90">
              <w:rPr>
                <w:color w:val="000000" w:themeColor="text1"/>
              </w:rPr>
            </w:r>
            <w:r w:rsidR="00680B90">
              <w:rPr>
                <w:color w:val="000000" w:themeColor="text1"/>
              </w:rPr>
              <w:fldChar w:fldCharType="separate"/>
            </w:r>
            <w:r w:rsidRPr="00680B90">
              <w:rPr>
                <w:rStyle w:val="Hyperlink"/>
              </w:rPr>
              <w:t>Código de Conducta</w:t>
            </w:r>
          </w:p>
          <w:p w14:paraId="46171CD7" w14:textId="5698AFEE" w:rsidR="005D617A" w:rsidRPr="00A153CB" w:rsidRDefault="00D97AF7" w:rsidP="002209E9">
            <w:pPr>
              <w:cnfStyle w:val="000000000000" w:firstRow="0" w:lastRow="0" w:firstColumn="0" w:lastColumn="0" w:oddVBand="0" w:evenVBand="0" w:oddHBand="0" w:evenHBand="0" w:firstRowFirstColumn="0" w:firstRowLastColumn="0" w:lastRowFirstColumn="0" w:lastRowLastColumn="0"/>
              <w:rPr>
                <w:color w:val="467886" w:themeColor="hyperlink"/>
                <w:u w:val="single"/>
              </w:rPr>
            </w:pPr>
            <w:r w:rsidRPr="00680B90">
              <w:rPr>
                <w:rStyle w:val="Hyperlink"/>
              </w:rPr>
              <w:t>Sobre el Uso de Influencers</w:t>
            </w:r>
            <w:r w:rsidR="00A153CB">
              <w:rPr>
                <w:rStyle w:val="Hyperlink"/>
              </w:rPr>
              <w:t xml:space="preserve"> en l</w:t>
            </w:r>
            <w:r w:rsidRPr="00680B90">
              <w:rPr>
                <w:rStyle w:val="Hyperlink"/>
              </w:rPr>
              <w:t>a Publicidad</w:t>
            </w:r>
            <w:r w:rsidR="00680B90">
              <w:rPr>
                <w:color w:val="000000" w:themeColor="text1"/>
              </w:rPr>
              <w:fldChar w:fldCharType="end"/>
            </w:r>
            <w:r w:rsidR="00680B90">
              <w:rPr>
                <w:color w:val="000000" w:themeColor="text1"/>
              </w:rPr>
              <w:t>)</w:t>
            </w:r>
            <w:r w:rsidR="00E478AC" w:rsidRPr="00E478AC">
              <w:rPr>
                <w:color w:val="000000" w:themeColor="text1"/>
              </w:rPr>
              <w:t xml:space="preserve">, </w:t>
            </w:r>
            <w:r w:rsidR="0015578E">
              <w:rPr>
                <w:color w:val="000000" w:themeColor="text1"/>
              </w:rPr>
              <w:t xml:space="preserve">Autocontrol </w:t>
            </w:r>
            <w:r w:rsidR="00E478AC" w:rsidRPr="00E478AC">
              <w:rPr>
                <w:color w:val="000000" w:themeColor="text1"/>
              </w:rPr>
              <w:t xml:space="preserve">also give a series of guidelines for the use of testimonials and endorsements in advertising, such as that digital content or mentions made by influencers that are advertising in nature must be identifiable for his followers. </w:t>
            </w:r>
          </w:p>
        </w:tc>
      </w:tr>
      <w:tr w:rsidR="000F492D" w14:paraId="0F9E2F16" w14:textId="77777777" w:rsidTr="33F03C2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5940DD9" w14:textId="77777777" w:rsidR="005D617A" w:rsidRPr="00203503" w:rsidRDefault="00D97AF7" w:rsidP="005D617A">
            <w:pPr>
              <w:spacing w:line="276" w:lineRule="auto"/>
              <w:rPr>
                <w:rFonts w:cs="Arial"/>
                <w:color w:val="747474" w:themeColor="background2" w:themeShade="80"/>
              </w:rPr>
            </w:pPr>
            <w:r>
              <w:rPr>
                <w:rFonts w:cs="Arial"/>
                <w:color w:val="747474" w:themeColor="background2" w:themeShade="80"/>
              </w:rPr>
              <w:t>6.5</w:t>
            </w:r>
          </w:p>
        </w:tc>
        <w:tc>
          <w:tcPr>
            <w:tcW w:w="2126" w:type="dxa"/>
            <w:tcBorders>
              <w:top w:val="none" w:sz="0" w:space="0" w:color="auto"/>
              <w:bottom w:val="none" w:sz="0" w:space="0" w:color="auto"/>
            </w:tcBorders>
          </w:tcPr>
          <w:p w14:paraId="3BE40AC9" w14:textId="77777777" w:rsidR="005D617A" w:rsidRDefault="00D97AF7" w:rsidP="005D617A">
            <w:pPr>
              <w:pStyle w:val="Subjectcolumntext"/>
              <w:cnfStyle w:val="000000100000" w:firstRow="0" w:lastRow="0" w:firstColumn="0" w:lastColumn="0" w:oddVBand="0" w:evenVBand="0" w:oddHBand="1" w:evenHBand="0" w:firstRowFirstColumn="0" w:firstRowLastColumn="0" w:lastRowFirstColumn="0" w:lastRowLastColumn="0"/>
            </w:pPr>
            <w:r w:rsidRPr="00FC4962">
              <w:t>General indicators of effectiveness (branded content)</w:t>
            </w:r>
          </w:p>
        </w:tc>
        <w:tc>
          <w:tcPr>
            <w:tcW w:w="2127" w:type="dxa"/>
            <w:tcBorders>
              <w:top w:val="none" w:sz="0" w:space="0" w:color="auto"/>
              <w:bottom w:val="none" w:sz="0" w:space="0" w:color="auto"/>
            </w:tcBorders>
          </w:tcPr>
          <w:p w14:paraId="367E8967" w14:textId="77777777" w:rsidR="005D617A" w:rsidRDefault="005D617A" w:rsidP="005D617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F69F9BA" w14:textId="77777777" w:rsidR="005D617A" w:rsidRPr="0016559B" w:rsidRDefault="005D617A" w:rsidP="005D617A">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bl>
    <w:p w14:paraId="428122A7" w14:textId="77777777" w:rsidR="008D27DF" w:rsidRDefault="008D27DF" w:rsidP="00CB5035">
      <w:pPr>
        <w:spacing w:after="0"/>
      </w:pPr>
    </w:p>
    <w:p w14:paraId="6F1B3B54" w14:textId="77777777" w:rsidR="00CF62AF" w:rsidRDefault="00D97AF7" w:rsidP="008D27DF">
      <w:pPr>
        <w:pStyle w:val="Tableheadings"/>
      </w:pPr>
      <w:r w:rsidRPr="008D27DF">
        <w:t>Branded content sections</w:t>
      </w:r>
    </w:p>
    <w:p w14:paraId="02BFFD7B" w14:textId="77777777" w:rsidR="008D27DF" w:rsidRDefault="008D27DF" w:rsidP="008D27DF">
      <w:pPr>
        <w:pStyle w:val="Tableheadings"/>
      </w:pPr>
    </w:p>
    <w:p w14:paraId="1A6C03D2" w14:textId="77777777" w:rsidR="00533017" w:rsidRPr="00533017" w:rsidRDefault="00D97AF7" w:rsidP="00533017">
      <w:pPr>
        <w:pStyle w:val="SectionHead"/>
      </w:pPr>
      <w:bookmarkStart w:id="13" w:name="_Toc170136347"/>
      <w:r w:rsidRPr="00533017">
        <w:t>Publishing</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0F492D" w14:paraId="67D0F761"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3CDB423E" w14:textId="77777777" w:rsidR="008D27DF" w:rsidRPr="00686D2A" w:rsidRDefault="00D97AF7" w:rsidP="00F92CC7">
            <w:pPr>
              <w:pStyle w:val="Tableheadings"/>
            </w:pPr>
            <w:r w:rsidRPr="00686D2A">
              <w:rPr>
                <w:b/>
                <w:bCs/>
              </w:rPr>
              <w:lastRenderedPageBreak/>
              <w:t>Item</w:t>
            </w:r>
          </w:p>
        </w:tc>
        <w:tc>
          <w:tcPr>
            <w:tcW w:w="2126" w:type="dxa"/>
            <w:tcBorders>
              <w:bottom w:val="none" w:sz="0" w:space="0" w:color="auto"/>
            </w:tcBorders>
          </w:tcPr>
          <w:p w14:paraId="428922C9" w14:textId="77777777" w:rsidR="008D27DF"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7" w:type="dxa"/>
            <w:tcBorders>
              <w:bottom w:val="none" w:sz="0" w:space="0" w:color="auto"/>
            </w:tcBorders>
          </w:tcPr>
          <w:p w14:paraId="22083FD4" w14:textId="77777777" w:rsidR="008D27DF"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686D2A">
              <w:rPr>
                <w:b/>
                <w:bCs/>
                <w:color w:val="595959" w:themeColor="text1" w:themeTint="A6"/>
              </w:rPr>
              <w:t xml:space="preserve">Classification </w:t>
            </w:r>
          </w:p>
        </w:tc>
        <w:tc>
          <w:tcPr>
            <w:tcW w:w="5670" w:type="dxa"/>
            <w:tcBorders>
              <w:bottom w:val="none" w:sz="0" w:space="0" w:color="auto"/>
            </w:tcBorders>
          </w:tcPr>
          <w:p w14:paraId="31857472" w14:textId="77777777" w:rsidR="008D27DF"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686D2A">
              <w:rPr>
                <w:b/>
                <w:bCs/>
                <w:color w:val="595959" w:themeColor="text1" w:themeTint="A6"/>
              </w:rPr>
              <w:t>Description</w:t>
            </w:r>
          </w:p>
        </w:tc>
      </w:tr>
      <w:tr w:rsidR="000F492D" w14:paraId="3047EAC5"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6AF2665" w14:textId="77777777" w:rsidR="008D27DF" w:rsidRPr="00203503" w:rsidRDefault="00D97AF7" w:rsidP="00F92CC7">
            <w:pPr>
              <w:spacing w:line="276" w:lineRule="auto"/>
              <w:rPr>
                <w:rFonts w:cs="Arial"/>
                <w:color w:val="747474" w:themeColor="background2" w:themeShade="80"/>
              </w:rPr>
            </w:pPr>
            <w:r>
              <w:rPr>
                <w:rFonts w:cs="Arial"/>
                <w:color w:val="747474" w:themeColor="background2" w:themeShade="80"/>
              </w:rPr>
              <w:t>7.1</w:t>
            </w:r>
          </w:p>
        </w:tc>
        <w:tc>
          <w:tcPr>
            <w:tcW w:w="2126" w:type="dxa"/>
            <w:tcBorders>
              <w:top w:val="none" w:sz="0" w:space="0" w:color="auto"/>
              <w:bottom w:val="none" w:sz="0" w:space="0" w:color="auto"/>
            </w:tcBorders>
          </w:tcPr>
          <w:p w14:paraId="1860C896" w14:textId="77777777" w:rsidR="008D27DF" w:rsidRPr="000004F6"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87539C">
              <w:t xml:space="preserve">Rules/governance arrangements across sectors </w:t>
            </w:r>
            <w:r w:rsidRPr="00252829">
              <w:rPr>
                <w:b w:val="0"/>
                <w:bCs w:val="0"/>
              </w:rPr>
              <w:t>(news publishing; magazines; contract publishing</w:t>
            </w:r>
            <w:r w:rsidR="0023424F">
              <w:rPr>
                <w:b w:val="0"/>
                <w:bCs w:val="0"/>
              </w:rPr>
              <w:t>,etc.</w:t>
            </w:r>
            <w:r w:rsidRPr="00252829">
              <w:rPr>
                <w:b w:val="0"/>
                <w:bCs w:val="0"/>
              </w:rPr>
              <w:t>)</w:t>
            </w:r>
          </w:p>
        </w:tc>
        <w:tc>
          <w:tcPr>
            <w:tcW w:w="2127" w:type="dxa"/>
            <w:tcBorders>
              <w:top w:val="none" w:sz="0" w:space="0" w:color="auto"/>
              <w:bottom w:val="none" w:sz="0" w:space="0" w:color="auto"/>
            </w:tcBorders>
          </w:tcPr>
          <w:p w14:paraId="53FBD871" w14:textId="77777777" w:rsidR="008D27DF" w:rsidRPr="00745C48" w:rsidRDefault="008D27DF"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FAB387F" w14:textId="77777777" w:rsidR="00BA2D82" w:rsidRPr="002A1A0A" w:rsidRDefault="00D97AF7" w:rsidP="001D1BAD">
            <w:pPr>
              <w:cnfStyle w:val="000000100000" w:firstRow="0" w:lastRow="0" w:firstColumn="0" w:lastColumn="0" w:oddVBand="0" w:evenVBand="0" w:oddHBand="1" w:evenHBand="0" w:firstRowFirstColumn="0" w:firstRowLastColumn="0" w:lastRowFirstColumn="0" w:lastRowLastColumn="0"/>
              <w:rPr>
                <w:rStyle w:val="normaltextrun"/>
                <w:rFonts w:eastAsia="Calibri" w:cs="Arial"/>
                <w:color w:val="000000" w:themeColor="text1"/>
              </w:rPr>
            </w:pPr>
            <w:r w:rsidRPr="002A1A0A">
              <w:rPr>
                <w:rStyle w:val="normaltextrun"/>
                <w:rFonts w:eastAsia="Calibri" w:cs="Arial"/>
                <w:color w:val="000000" w:themeColor="text1"/>
              </w:rPr>
              <w:t>In the European Union, the Unfair Commercial Practices Directive (</w:t>
            </w:r>
            <w:hyperlink r:id="rId158" w:history="1">
              <w:r w:rsidRPr="002A1A0A">
                <w:rPr>
                  <w:rStyle w:val="Hyperlink"/>
                  <w:rFonts w:cs="Arial"/>
                  <w:color w:val="0563C1"/>
                </w:rPr>
                <w:t>Directive 2005/29/EC</w:t>
              </w:r>
            </w:hyperlink>
            <w:r w:rsidRPr="002A1A0A">
              <w:rPr>
                <w:rStyle w:val="normaltextrun"/>
                <w:rFonts w:eastAsia="Calibri" w:cs="Arial"/>
                <w:color w:val="000000" w:themeColor="text1"/>
              </w:rPr>
              <w:t>) and the Misleading and Comparative Advertising Directive (</w:t>
            </w:r>
            <w:hyperlink r:id="rId159" w:history="1">
              <w:r w:rsidRPr="002A1A0A">
                <w:rPr>
                  <w:rStyle w:val="Hyperlink"/>
                  <w:rFonts w:cs="Arial"/>
                </w:rPr>
                <w:t>Directive 2006/114/EC</w:t>
              </w:r>
            </w:hyperlink>
            <w:r w:rsidRPr="002A1A0A">
              <w:rPr>
                <w:rStyle w:val="normaltextrun"/>
                <w:rFonts w:eastAsia="Calibri" w:cs="Arial"/>
                <w:color w:val="000000" w:themeColor="text1"/>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2A1A0A">
              <w:rPr>
                <w:rStyle w:val="normaltextrun"/>
                <w:rFonts w:eastAsia="Calibri" w:cs="Arial"/>
                <w:b/>
                <w:bCs/>
                <w:color w:val="000000" w:themeColor="text1"/>
              </w:rPr>
              <w:t>6.1</w:t>
            </w:r>
            <w:r w:rsidRPr="002A1A0A">
              <w:rPr>
                <w:rStyle w:val="normaltextrun"/>
                <w:rFonts w:eastAsia="Calibri" w:cs="Arial"/>
                <w:color w:val="000000" w:themeColor="text1"/>
              </w:rPr>
              <w:t>). The Unfair Commercial Practices Directive (</w:t>
            </w:r>
            <w:hyperlink r:id="rId160" w:history="1">
              <w:r w:rsidRPr="002A1A0A">
                <w:rPr>
                  <w:rStyle w:val="Hyperlink"/>
                  <w:rFonts w:cs="Arial"/>
                  <w:color w:val="0563C1"/>
                </w:rPr>
                <w:t>Directive 2005/29/EC</w:t>
              </w:r>
            </w:hyperlink>
            <w:r w:rsidRPr="002A1A0A">
              <w:rPr>
                <w:rStyle w:val="normaltextrun"/>
                <w:rFonts w:eastAsia="Calibri" w:cs="Arial"/>
                <w:color w:val="000000" w:themeColor="text1"/>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p>
          <w:p w14:paraId="66A34AFC" w14:textId="77777777" w:rsidR="008D27DF" w:rsidRDefault="008D27DF" w:rsidP="001D1BAD">
            <w:pPr>
              <w:cnfStyle w:val="000000100000" w:firstRow="0" w:lastRow="0" w:firstColumn="0" w:lastColumn="0" w:oddVBand="0" w:evenVBand="0" w:oddHBand="1" w:evenHBand="0" w:firstRowFirstColumn="0" w:firstRowLastColumn="0" w:lastRowFirstColumn="0" w:lastRowLastColumn="0"/>
              <w:rPr>
                <w:rFonts w:cs="Arial"/>
              </w:rPr>
            </w:pPr>
          </w:p>
          <w:p w14:paraId="2180804A" w14:textId="77777777" w:rsidR="00EB7847" w:rsidRPr="00EB7847" w:rsidRDefault="00D97AF7" w:rsidP="001D1BAD">
            <w:pPr>
              <w:cnfStyle w:val="000000100000" w:firstRow="0" w:lastRow="0" w:firstColumn="0" w:lastColumn="0" w:oddVBand="0" w:evenVBand="0" w:oddHBand="1" w:evenHBand="0" w:firstRowFirstColumn="0" w:firstRowLastColumn="0" w:lastRowFirstColumn="0" w:lastRowLastColumn="0"/>
              <w:rPr>
                <w:color w:val="000000" w:themeColor="text1"/>
              </w:rPr>
            </w:pPr>
            <w:r w:rsidRPr="00EB7847">
              <w:rPr>
                <w:color w:val="000000" w:themeColor="text1"/>
              </w:rPr>
              <w:t xml:space="preserve">In addition, the prohibition on hidden marketing is reaffirmed in Article 7(2) and point 22 of Annex I to the </w:t>
            </w:r>
            <w:r w:rsidR="00B846F2">
              <w:rPr>
                <w:color w:val="000000" w:themeColor="text1"/>
              </w:rPr>
              <w:t>UCPD</w:t>
            </w:r>
            <w:r w:rsidRPr="00EB7847">
              <w:rPr>
                <w:color w:val="000000" w:themeColor="text1"/>
              </w:rPr>
              <w:t>. In a European Parliamentary answer</w:t>
            </w:r>
          </w:p>
          <w:p w14:paraId="59C64915" w14:textId="77777777" w:rsidR="00EB7847" w:rsidRPr="00EB7847" w:rsidRDefault="00D97AF7" w:rsidP="001D1BAD">
            <w:pPr>
              <w:cnfStyle w:val="000000100000" w:firstRow="0" w:lastRow="0" w:firstColumn="0" w:lastColumn="0" w:oddVBand="0" w:evenVBand="0" w:oddHBand="1" w:evenHBand="0" w:firstRowFirstColumn="0" w:firstRowLastColumn="0" w:lastRowFirstColumn="0" w:lastRowLastColumn="0"/>
              <w:rPr>
                <w:color w:val="000000" w:themeColor="text1"/>
              </w:rPr>
            </w:pPr>
            <w:r w:rsidRPr="00EB7847">
              <w:rPr>
                <w:color w:val="000000" w:themeColor="text1"/>
              </w:rPr>
              <w:t>(European Parliament, 2016), the European Commission also stated that a: high level of consumer protection in this area is also ensured by Article 6(a) of</w:t>
            </w:r>
          </w:p>
          <w:p w14:paraId="26EE9F4B" w14:textId="77777777" w:rsidR="00EB7847" w:rsidRPr="00EB7847" w:rsidRDefault="00D97AF7" w:rsidP="001D1BAD">
            <w:pPr>
              <w:cnfStyle w:val="000000100000" w:firstRow="0" w:lastRow="0" w:firstColumn="0" w:lastColumn="0" w:oddVBand="0" w:evenVBand="0" w:oddHBand="1" w:evenHBand="0" w:firstRowFirstColumn="0" w:firstRowLastColumn="0" w:lastRowFirstColumn="0" w:lastRowLastColumn="0"/>
              <w:rPr>
                <w:color w:val="000000" w:themeColor="text1"/>
              </w:rPr>
            </w:pPr>
            <w:r w:rsidRPr="00EB7847">
              <w:rPr>
                <w:color w:val="000000" w:themeColor="text1"/>
              </w:rPr>
              <w:t>Directive 2000/31/EC\l ‘def2’ (2) and Article 9(1)(a) of [AVMSD] Directive 2010/13/EU\l ‘def3’ (3), which require commercial communications to be</w:t>
            </w:r>
          </w:p>
          <w:p w14:paraId="2B61D2F8" w14:textId="77777777" w:rsidR="00EB7847" w:rsidRDefault="00D97AF7" w:rsidP="001D1BAD">
            <w:pPr>
              <w:cnfStyle w:val="000000100000" w:firstRow="0" w:lastRow="0" w:firstColumn="0" w:lastColumn="0" w:oddVBand="0" w:evenVBand="0" w:oddHBand="1" w:evenHBand="0" w:firstRowFirstColumn="0" w:firstRowLastColumn="0" w:lastRowFirstColumn="0" w:lastRowLastColumn="0"/>
              <w:rPr>
                <w:color w:val="000000" w:themeColor="text1"/>
              </w:rPr>
            </w:pPr>
            <w:r w:rsidRPr="00EB7847">
              <w:rPr>
                <w:color w:val="000000" w:themeColor="text1"/>
              </w:rPr>
              <w:t>clearly identifiable as such, in information society services and audiovisual media services respectively’</w:t>
            </w:r>
            <w:r w:rsidR="00B846F2">
              <w:rPr>
                <w:color w:val="000000" w:themeColor="text1"/>
              </w:rPr>
              <w:t xml:space="preserve"> (Hardy</w:t>
            </w:r>
            <w:r w:rsidR="004F1133">
              <w:rPr>
                <w:color w:val="000000" w:themeColor="text1"/>
              </w:rPr>
              <w:t xml:space="preserve"> 2022: </w:t>
            </w:r>
            <w:r w:rsidR="00A715EE">
              <w:rPr>
                <w:color w:val="000000" w:themeColor="text1"/>
              </w:rPr>
              <w:t>152).</w:t>
            </w:r>
          </w:p>
          <w:p w14:paraId="62E73BF3" w14:textId="77777777" w:rsidR="00161D8C" w:rsidRDefault="00161D8C" w:rsidP="001D1BAD">
            <w:pPr>
              <w:cnfStyle w:val="000000100000" w:firstRow="0" w:lastRow="0" w:firstColumn="0" w:lastColumn="0" w:oddVBand="0" w:evenVBand="0" w:oddHBand="1" w:evenHBand="0" w:firstRowFirstColumn="0" w:firstRowLastColumn="0" w:lastRowFirstColumn="0" w:lastRowLastColumn="0"/>
              <w:rPr>
                <w:color w:val="000000" w:themeColor="text1"/>
              </w:rPr>
            </w:pPr>
          </w:p>
          <w:p w14:paraId="5BF3BA88" w14:textId="7F2721C6" w:rsidR="00161D8C" w:rsidRPr="006577CE" w:rsidRDefault="00D97AF7" w:rsidP="001D1BAD">
            <w:pPr>
              <w:cnfStyle w:val="000000100000" w:firstRow="0" w:lastRow="0" w:firstColumn="0" w:lastColumn="0" w:oddVBand="0" w:evenVBand="0" w:oddHBand="1" w:evenHBand="0" w:firstRowFirstColumn="0" w:firstRowLastColumn="0" w:lastRowFirstColumn="0" w:lastRowLastColumn="0"/>
              <w:rPr>
                <w:rFonts w:cs="Arial"/>
              </w:rPr>
            </w:pPr>
            <w:r>
              <w:rPr>
                <w:color w:val="000000" w:themeColor="text1"/>
              </w:rPr>
              <w:t>The main professional organisation of journalists in Spain  is the</w:t>
            </w:r>
            <w:r>
              <w:rPr>
                <w:rStyle w:val="Emphasis"/>
              </w:rPr>
              <w:t xml:space="preserve"> </w:t>
            </w:r>
            <w:r w:rsidRPr="00161D8C">
              <w:rPr>
                <w:rFonts w:cs="Arial"/>
              </w:rPr>
              <w:t xml:space="preserve">Federation of </w:t>
            </w:r>
            <w:r w:rsidR="006577CE">
              <w:rPr>
                <w:rFonts w:cs="Arial"/>
              </w:rPr>
              <w:t xml:space="preserve">Associations of Journalists of Spain (formerly Federation of Press Associations of </w:t>
            </w:r>
            <w:r w:rsidRPr="00161D8C">
              <w:rPr>
                <w:rFonts w:cs="Arial"/>
              </w:rPr>
              <w:t>Spain</w:t>
            </w:r>
            <w:r w:rsidR="006577CE">
              <w:rPr>
                <w:rFonts w:cs="Arial"/>
              </w:rPr>
              <w:t>)</w:t>
            </w:r>
            <w:r w:rsidRPr="00161D8C">
              <w:rPr>
                <w:rFonts w:cs="Arial"/>
              </w:rPr>
              <w:t xml:space="preserve"> (</w:t>
            </w:r>
            <w:hyperlink r:id="rId161" w:history="1">
              <w:r w:rsidRPr="00161D8C">
                <w:rPr>
                  <w:rStyle w:val="Hyperlink"/>
                  <w:rFonts w:cs="Arial"/>
                </w:rPr>
                <w:t>FAPE, 2024</w:t>
              </w:r>
            </w:hyperlink>
            <w:r w:rsidRPr="00161D8C">
              <w:rPr>
                <w:rFonts w:cs="Arial"/>
              </w:rPr>
              <w:t>)</w:t>
            </w:r>
            <w:r>
              <w:rPr>
                <w:rFonts w:cs="Arial"/>
              </w:rPr>
              <w:t xml:space="preserve">. FAPE acts as a Press Council to oversee and enforce </w:t>
            </w:r>
            <w:r w:rsidR="006577CE">
              <w:rPr>
                <w:rFonts w:cs="Arial"/>
              </w:rPr>
              <w:t>its</w:t>
            </w:r>
            <w:r>
              <w:rPr>
                <w:rFonts w:cs="Arial"/>
              </w:rPr>
              <w:t xml:space="preserve"> Code of Ethics (approved in 1993 and updated in 2017 (</w:t>
            </w:r>
            <w:hyperlink r:id="rId162" w:history="1">
              <w:r w:rsidRPr="00161D8C">
                <w:rPr>
                  <w:rStyle w:val="Hyperlink"/>
                  <w:rFonts w:cs="Arial"/>
                </w:rPr>
                <w:t>Press Councils.eu n.d</w:t>
              </w:r>
            </w:hyperlink>
            <w:r>
              <w:rPr>
                <w:rFonts w:cs="Arial"/>
              </w:rPr>
              <w:t xml:space="preserve">). The </w:t>
            </w:r>
            <w:r w:rsidRPr="00161D8C">
              <w:rPr>
                <w:rFonts w:cs="Arial"/>
              </w:rPr>
              <w:t>Code of Ethics is divided into three sections: General Principles, Statutes, and Perform</w:t>
            </w:r>
            <w:r w:rsidR="00124244">
              <w:rPr>
                <w:rFonts w:cs="Arial"/>
              </w:rPr>
              <w:t>ance</w:t>
            </w:r>
            <w:r w:rsidRPr="00161D8C">
              <w:rPr>
                <w:rFonts w:cs="Arial"/>
              </w:rPr>
              <w:t xml:space="preserve"> Principles.</w:t>
            </w:r>
            <w:r w:rsidR="00124244">
              <w:rPr>
                <w:rFonts w:cs="Arial"/>
              </w:rPr>
              <w:t xml:space="preserve"> Section 3</w:t>
            </w:r>
            <w:r w:rsidR="002C631B">
              <w:rPr>
                <w:rFonts w:cs="Arial"/>
              </w:rPr>
              <w:t xml:space="preserve">, </w:t>
            </w:r>
            <w:r w:rsidR="00124244">
              <w:rPr>
                <w:rFonts w:cs="Arial"/>
              </w:rPr>
              <w:t>Performance Principles, rule 6 states ‘</w:t>
            </w:r>
            <w:r w:rsidR="00124244">
              <w:t>In order not to mislead or confuse users, journalist</w:t>
            </w:r>
            <w:r w:rsidR="002C631B">
              <w:t>s are</w:t>
            </w:r>
            <w:r w:rsidR="00124244">
              <w:t xml:space="preserve"> obliged to make a formal and rigorous distinction between information and </w:t>
            </w:r>
            <w:r w:rsidR="002C631B">
              <w:t>advertising</w:t>
            </w:r>
            <w:r w:rsidR="00124244">
              <w:t xml:space="preserve">’. </w:t>
            </w:r>
          </w:p>
        </w:tc>
      </w:tr>
      <w:tr w:rsidR="000F492D" w14:paraId="34CA9847"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206489A" w14:textId="77777777" w:rsidR="008D27DF" w:rsidRPr="00203503" w:rsidRDefault="00D97AF7" w:rsidP="00F92CC7">
            <w:pPr>
              <w:spacing w:line="276" w:lineRule="auto"/>
              <w:rPr>
                <w:rFonts w:cs="Arial"/>
                <w:color w:val="3A3A3A" w:themeColor="background2" w:themeShade="40"/>
              </w:rPr>
            </w:pPr>
            <w:r>
              <w:rPr>
                <w:rFonts w:cs="Arial"/>
                <w:color w:val="747474" w:themeColor="background2" w:themeShade="80"/>
              </w:rPr>
              <w:t>7.2</w:t>
            </w:r>
          </w:p>
        </w:tc>
        <w:tc>
          <w:tcPr>
            <w:tcW w:w="2126" w:type="dxa"/>
          </w:tcPr>
          <w:p w14:paraId="561C2F42" w14:textId="77777777" w:rsidR="008D27DF"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t>How is branded content described and ordered in governance?</w:t>
            </w:r>
          </w:p>
        </w:tc>
        <w:tc>
          <w:tcPr>
            <w:tcW w:w="2127" w:type="dxa"/>
          </w:tcPr>
          <w:p w14:paraId="124DE5B9" w14:textId="77777777" w:rsidR="008D27DF" w:rsidRDefault="008D27DF"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172AF84" w14:textId="77777777" w:rsidR="008D27DF" w:rsidRDefault="00D97AF7" w:rsidP="002A1A0A">
            <w:pPr>
              <w:cnfStyle w:val="000000000000" w:firstRow="0" w:lastRow="0" w:firstColumn="0" w:lastColumn="0" w:oddVBand="0" w:evenVBand="0" w:oddHBand="0" w:evenHBand="0" w:firstRowFirstColumn="0" w:firstRowLastColumn="0" w:lastRowFirstColumn="0" w:lastRowLastColumn="0"/>
              <w:rPr>
                <w:rStyle w:val="normaltextrun"/>
                <w:rFonts w:eastAsia="Calibri" w:cs="Arial"/>
                <w:color w:val="000000" w:themeColor="text1"/>
              </w:rPr>
            </w:pPr>
            <w:r w:rsidRPr="002A1A0A">
              <w:rPr>
                <w:rStyle w:val="normaltextrun"/>
                <w:rFonts w:eastAsia="Calibri" w:cs="Arial"/>
                <w:color w:val="000000" w:themeColor="text1"/>
              </w:rPr>
              <w:t>The Unfair Commercial Practices Directive (</w:t>
            </w:r>
            <w:hyperlink r:id="rId163" w:history="1">
              <w:r w:rsidRPr="002A1A0A">
                <w:rPr>
                  <w:rStyle w:val="Hyperlink"/>
                  <w:rFonts w:cs="Arial"/>
                  <w:color w:val="0563C1"/>
                </w:rPr>
                <w:t>Directive 2005/29/EC</w:t>
              </w:r>
            </w:hyperlink>
            <w:r w:rsidRPr="002A1A0A">
              <w:rPr>
                <w:rStyle w:val="normaltextrun"/>
                <w:rFonts w:eastAsia="Calibri" w:cs="Arial"/>
                <w:color w:val="000000" w:themeColor="text1"/>
              </w:rPr>
              <w:t>) classifies undisclosed commercial communication as a misleading omission, which is a prohibited practice.</w:t>
            </w:r>
          </w:p>
          <w:p w14:paraId="37C43578" w14:textId="77777777" w:rsidR="00FA6BE1" w:rsidRDefault="00FA6BE1" w:rsidP="002A1A0A">
            <w:pPr>
              <w:cnfStyle w:val="000000000000" w:firstRow="0" w:lastRow="0" w:firstColumn="0" w:lastColumn="0" w:oddVBand="0" w:evenVBand="0" w:oddHBand="0" w:evenHBand="0" w:firstRowFirstColumn="0" w:firstRowLastColumn="0" w:lastRowFirstColumn="0" w:lastRowLastColumn="0"/>
              <w:rPr>
                <w:rStyle w:val="normaltextrun"/>
                <w:rFonts w:eastAsia="Calibri"/>
                <w:color w:val="000000" w:themeColor="text1"/>
              </w:rPr>
            </w:pPr>
          </w:p>
          <w:p w14:paraId="7D440040" w14:textId="341E7AC4" w:rsidR="00B26FDF" w:rsidRPr="001D1BAD" w:rsidRDefault="00D97AF7" w:rsidP="00346580">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rPr>
            </w:pPr>
            <w:r w:rsidRPr="00FA6BE1">
              <w:rPr>
                <w:rFonts w:eastAsia="Calibri" w:cs="Arial"/>
                <w:color w:val="000000" w:themeColor="text1"/>
              </w:rPr>
              <w:t xml:space="preserve">Although there is no express mention of branded content in Spanish regulation to date, it is understood that it is covered by the Article 2 of the General Advertising Law, because advertising is defined as any form of </w:t>
            </w:r>
            <w:r w:rsidRPr="00FA6BE1">
              <w:rPr>
                <w:rFonts w:eastAsia="Calibri" w:cs="Arial"/>
                <w:color w:val="000000" w:themeColor="text1"/>
              </w:rPr>
              <w:lastRenderedPageBreak/>
              <w:t xml:space="preserve">communication made by a natural or legal person, public or private, in the exercise of a trade, business, craft or profession in order to promote directly or indirectly the contracting of real or personal property, services, rights and obligations. </w:t>
            </w:r>
            <w:r w:rsidR="002C631B">
              <w:rPr>
                <w:rFonts w:eastAsia="Calibri" w:cs="Arial"/>
                <w:color w:val="000000" w:themeColor="text1"/>
              </w:rPr>
              <w:t>In addition</w:t>
            </w:r>
            <w:r w:rsidRPr="00FA6BE1">
              <w:rPr>
                <w:rFonts w:eastAsia="Calibri" w:cs="Arial"/>
                <w:color w:val="000000" w:themeColor="text1"/>
              </w:rPr>
              <w:t xml:space="preserve">, branded content is </w:t>
            </w:r>
            <w:r w:rsidR="0007002B">
              <w:rPr>
                <w:rFonts w:eastAsia="Calibri" w:cs="Arial"/>
                <w:color w:val="000000" w:themeColor="text1"/>
              </w:rPr>
              <w:t xml:space="preserve">addressed </w:t>
            </w:r>
            <w:r w:rsidRPr="00FA6BE1">
              <w:rPr>
                <w:rFonts w:eastAsia="Calibri" w:cs="Arial"/>
                <w:color w:val="000000" w:themeColor="text1"/>
              </w:rPr>
              <w:t xml:space="preserve">by the Article 136 of the new </w:t>
            </w:r>
            <w:r w:rsidRPr="00FA6BE1">
              <w:rPr>
                <w:rFonts w:eastAsia="Calibri" w:cs="Arial"/>
                <w:color w:val="000000" w:themeColor="text1"/>
                <w:lang w:val="en-US"/>
              </w:rPr>
              <w:t>General Law on Audiovisual Communications</w:t>
            </w:r>
            <w:r w:rsidR="0007002B">
              <w:rPr>
                <w:rFonts w:eastAsia="Calibri" w:cs="Arial"/>
                <w:color w:val="000000" w:themeColor="text1"/>
                <w:lang w:val="en-US"/>
              </w:rPr>
              <w:t xml:space="preserve">, which requires that </w:t>
            </w:r>
            <w:r w:rsidRPr="00FA6BE1">
              <w:rPr>
                <w:rFonts w:eastAsia="Calibri" w:cs="Arial"/>
                <w:color w:val="000000" w:themeColor="text1"/>
                <w:lang w:val="en-US"/>
              </w:rPr>
              <w:t>commercial communication whose characteristics are likely to mislead the viewer as to its advertising nature shall include a permanent and legible overprint with the indication 'advertising'.</w:t>
            </w:r>
          </w:p>
        </w:tc>
      </w:tr>
    </w:tbl>
    <w:p w14:paraId="5B40AD8A" w14:textId="77777777" w:rsidR="00EE67D5" w:rsidRPr="00EE67D5" w:rsidRDefault="00D97AF7" w:rsidP="00EE67D5">
      <w:pPr>
        <w:pStyle w:val="SectionHead"/>
      </w:pPr>
      <w:bookmarkStart w:id="14" w:name="_Toc170136348"/>
      <w:r w:rsidRPr="00EE67D5">
        <w:lastRenderedPageBreak/>
        <w:t>Audiovisual</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0F492D" w14:paraId="689EDA15"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B4E677D" w14:textId="77777777" w:rsidR="007B253B" w:rsidRPr="00686D2A" w:rsidRDefault="00D97AF7" w:rsidP="00F92CC7">
            <w:pPr>
              <w:pStyle w:val="Tableheadings"/>
            </w:pPr>
            <w:r w:rsidRPr="00686D2A">
              <w:rPr>
                <w:b/>
                <w:bCs/>
              </w:rPr>
              <w:t>Item</w:t>
            </w:r>
          </w:p>
        </w:tc>
        <w:tc>
          <w:tcPr>
            <w:tcW w:w="2126" w:type="dxa"/>
            <w:tcBorders>
              <w:bottom w:val="none" w:sz="0" w:space="0" w:color="auto"/>
            </w:tcBorders>
          </w:tcPr>
          <w:p w14:paraId="69E516E0" w14:textId="77777777" w:rsidR="007B253B"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7" w:type="dxa"/>
            <w:tcBorders>
              <w:bottom w:val="none" w:sz="0" w:space="0" w:color="auto"/>
            </w:tcBorders>
          </w:tcPr>
          <w:p w14:paraId="14AB81DE" w14:textId="77777777" w:rsidR="007B253B"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12A1EA1B" w14:textId="77777777" w:rsidR="007B253B"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424EE4">
              <w:rPr>
                <w:b/>
                <w:bCs/>
              </w:rPr>
              <w:t>Description</w:t>
            </w:r>
          </w:p>
        </w:tc>
      </w:tr>
      <w:tr w:rsidR="000F492D" w14:paraId="6DC88ACC"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1215463" w14:textId="77777777" w:rsidR="002A1A0A" w:rsidRPr="00203503" w:rsidRDefault="00D97AF7" w:rsidP="002A1A0A">
            <w:pPr>
              <w:spacing w:line="276" w:lineRule="auto"/>
              <w:rPr>
                <w:rFonts w:cs="Arial"/>
                <w:color w:val="747474" w:themeColor="background2" w:themeShade="80"/>
              </w:rPr>
            </w:pPr>
            <w:r>
              <w:rPr>
                <w:rFonts w:cs="Arial"/>
                <w:color w:val="747474" w:themeColor="background2" w:themeShade="80"/>
              </w:rPr>
              <w:t>8.1</w:t>
            </w:r>
          </w:p>
        </w:tc>
        <w:tc>
          <w:tcPr>
            <w:tcW w:w="2126" w:type="dxa"/>
            <w:tcBorders>
              <w:top w:val="none" w:sz="0" w:space="0" w:color="auto"/>
              <w:bottom w:val="none" w:sz="0" w:space="0" w:color="auto"/>
            </w:tcBorders>
          </w:tcPr>
          <w:p w14:paraId="66AF1DFF" w14:textId="77777777" w:rsidR="002A1A0A" w:rsidRPr="000004F6" w:rsidRDefault="00D97AF7" w:rsidP="002A1A0A">
            <w:pPr>
              <w:pStyle w:val="Subjectcolumntext"/>
              <w:cnfStyle w:val="000000100000" w:firstRow="0" w:lastRow="0" w:firstColumn="0" w:lastColumn="0" w:oddVBand="0" w:evenVBand="0" w:oddHBand="1" w:evenHBand="0" w:firstRowFirstColumn="0" w:firstRowLastColumn="0" w:lastRowFirstColumn="0" w:lastRowLastColumn="0"/>
            </w:pPr>
            <w:r w:rsidRPr="000E28A1">
              <w:t>Rules/governance arrangements across sector</w:t>
            </w:r>
            <w:r>
              <w:t>s</w:t>
            </w:r>
          </w:p>
        </w:tc>
        <w:tc>
          <w:tcPr>
            <w:tcW w:w="2127" w:type="dxa"/>
            <w:tcBorders>
              <w:top w:val="none" w:sz="0" w:space="0" w:color="auto"/>
              <w:bottom w:val="none" w:sz="0" w:space="0" w:color="auto"/>
            </w:tcBorders>
          </w:tcPr>
          <w:p w14:paraId="671EBD24" w14:textId="77777777" w:rsidR="002A1A0A" w:rsidRPr="00745C48" w:rsidRDefault="002A1A0A" w:rsidP="002A1A0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14AF16F" w14:textId="77777777" w:rsidR="00FA6BE1" w:rsidRDefault="00D97AF7" w:rsidP="002A1A0A">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2A1A0A">
              <w:rPr>
                <w:rStyle w:val="normaltextrun"/>
                <w:rFonts w:eastAsia="Calibri" w:cs="Arial"/>
                <w:color w:val="000000" w:themeColor="text1"/>
              </w:rPr>
              <w:t>In the European Union, the Unfair Commercial Practices Directive (</w:t>
            </w:r>
            <w:hyperlink r:id="rId164" w:history="1">
              <w:r w:rsidRPr="002A1A0A">
                <w:rPr>
                  <w:rStyle w:val="Hyperlink"/>
                  <w:rFonts w:cs="Arial"/>
                  <w:color w:val="0563C1"/>
                </w:rPr>
                <w:t>Directive 2005/29/EC</w:t>
              </w:r>
            </w:hyperlink>
            <w:r w:rsidRPr="002A1A0A">
              <w:rPr>
                <w:rStyle w:val="normaltextrun"/>
                <w:rFonts w:eastAsia="Calibri" w:cs="Arial"/>
                <w:color w:val="000000" w:themeColor="text1"/>
              </w:rPr>
              <w:t>) and the Misleading and Comparative Advertising Directive (</w:t>
            </w:r>
            <w:hyperlink r:id="rId165" w:history="1">
              <w:r w:rsidRPr="002A1A0A">
                <w:rPr>
                  <w:rStyle w:val="Hyperlink"/>
                  <w:rFonts w:cs="Arial"/>
                </w:rPr>
                <w:t>Directive 2006/114/EC</w:t>
              </w:r>
            </w:hyperlink>
            <w:r w:rsidRPr="002A1A0A">
              <w:rPr>
                <w:rStyle w:val="normaltextrun"/>
                <w:rFonts w:eastAsia="Calibri" w:cs="Arial"/>
                <w:color w:val="000000" w:themeColor="text1"/>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2A1A0A">
              <w:rPr>
                <w:rStyle w:val="normaltextrun"/>
                <w:rFonts w:eastAsia="Calibri" w:cs="Arial"/>
                <w:b/>
                <w:bCs/>
                <w:color w:val="000000" w:themeColor="text1"/>
              </w:rPr>
              <w:t>6.1</w:t>
            </w:r>
            <w:r w:rsidRPr="002A1A0A">
              <w:rPr>
                <w:rStyle w:val="normaltextrun"/>
                <w:rFonts w:eastAsia="Calibri" w:cs="Arial"/>
                <w:color w:val="000000" w:themeColor="text1"/>
              </w:rPr>
              <w:t>).</w:t>
            </w:r>
            <w:r w:rsidRPr="002A1A0A">
              <w:rPr>
                <w:rFonts w:eastAsia="Calibri" w:cs="Arial"/>
                <w:color w:val="000000" w:themeColor="text1"/>
              </w:rPr>
              <w:t xml:space="preserve"> </w:t>
            </w:r>
            <w:r w:rsidRPr="002A1A0A">
              <w:rPr>
                <w:rFonts w:cs="Arial"/>
              </w:rPr>
              <w:t>The Audiovisual Media Services Directive</w:t>
            </w:r>
            <w:r w:rsidRPr="002A1A0A">
              <w:rPr>
                <w:rFonts w:eastAsia="Calibri" w:cs="Arial"/>
                <w:color w:val="000000" w:themeColor="text1"/>
              </w:rPr>
              <w:t xml:space="preserve"> (</w:t>
            </w:r>
            <w:hyperlink r:id="rId166" w:history="1">
              <w:r w:rsidRPr="002A1A0A">
                <w:rPr>
                  <w:rStyle w:val="Hyperlink"/>
                  <w:rFonts w:cs="Arial"/>
                </w:rPr>
                <w:t>Directive 2018/1808</w:t>
              </w:r>
            </w:hyperlink>
            <w:r w:rsidRPr="002A1A0A">
              <w:rPr>
                <w:rFonts w:eastAsia="Calibri" w:cs="Arial"/>
                <w:color w:val="000000" w:themeColor="text1"/>
              </w:rPr>
              <w:t>) (A</w:t>
            </w:r>
            <w:r>
              <w:rPr>
                <w:rFonts w:eastAsia="Calibri" w:cs="Arial"/>
                <w:color w:val="000000" w:themeColor="text1"/>
              </w:rPr>
              <w:t>V</w:t>
            </w:r>
            <w:r w:rsidRPr="002A1A0A">
              <w:rPr>
                <w:rFonts w:eastAsia="Calibri" w:cs="Arial"/>
                <w:color w:val="000000" w:themeColor="text1"/>
              </w:rPr>
              <w:t xml:space="preserve">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w:t>
            </w:r>
          </w:p>
          <w:p w14:paraId="531D039E" w14:textId="77777777" w:rsidR="00522F0D" w:rsidRDefault="00522F0D" w:rsidP="002A1A0A">
            <w:pPr>
              <w:cnfStyle w:val="000000100000" w:firstRow="0" w:lastRow="0" w:firstColumn="0" w:lastColumn="0" w:oddVBand="0" w:evenVBand="0" w:oddHBand="1" w:evenHBand="0" w:firstRowFirstColumn="0" w:firstRowLastColumn="0" w:lastRowFirstColumn="0" w:lastRowLastColumn="0"/>
            </w:pPr>
          </w:p>
          <w:p w14:paraId="1B20AB81" w14:textId="1C7D4143" w:rsidR="00816ADE" w:rsidRDefault="00D97AF7" w:rsidP="00522F0D">
            <w:pPr>
              <w:cnfStyle w:val="000000100000" w:firstRow="0" w:lastRow="0" w:firstColumn="0" w:lastColumn="0" w:oddVBand="0" w:evenVBand="0" w:oddHBand="1" w:evenHBand="0" w:firstRowFirstColumn="0" w:firstRowLastColumn="0" w:lastRowFirstColumn="0" w:lastRowLastColumn="0"/>
              <w:rPr>
                <w:rFonts w:eastAsia="Calibri"/>
                <w:color w:val="000000" w:themeColor="text1"/>
              </w:rPr>
            </w:pPr>
            <w:r w:rsidRPr="005F5A72">
              <w:rPr>
                <w:color w:val="000000" w:themeColor="text1"/>
              </w:rPr>
              <w:t xml:space="preserve">The principal </w:t>
            </w:r>
            <w:r w:rsidR="005F5A72">
              <w:rPr>
                <w:color w:val="000000" w:themeColor="text1"/>
              </w:rPr>
              <w:t>n</w:t>
            </w:r>
            <w:r w:rsidR="005F5A72">
              <w:t xml:space="preserve">ational </w:t>
            </w:r>
            <w:r w:rsidRPr="005F5A72">
              <w:rPr>
                <w:color w:val="000000" w:themeColor="text1"/>
              </w:rPr>
              <w:t xml:space="preserve">legislation is </w:t>
            </w:r>
            <w:r w:rsidRPr="5C99EEFA">
              <w:t>the Spanish General Law 13/2022 of July 7 on Audiovisual Communications</w:t>
            </w:r>
            <w:r w:rsidR="00B56817">
              <w:t xml:space="preserve">, </w:t>
            </w:r>
            <w:r w:rsidR="00B56817">
              <w:rPr>
                <w:rStyle w:val="hgkelc"/>
                <w:lang w:val="en"/>
              </w:rPr>
              <w:t>Ley General de Comunicación Audiovisual</w:t>
            </w:r>
            <w:r w:rsidRPr="5C99EEFA">
              <w:t xml:space="preserve"> (</w:t>
            </w:r>
            <w:r w:rsidR="00D1019A">
              <w:t>LCGA</w:t>
            </w:r>
            <w:r w:rsidRPr="5C99EEFA">
              <w:t>) (</w:t>
            </w:r>
            <w:hyperlink r:id="rId167" w:history="1">
              <w:r w:rsidRPr="5C99EEFA">
                <w:rPr>
                  <w:rStyle w:val="Hyperlink"/>
                </w:rPr>
                <w:t>BOE, 2022a</w:t>
              </w:r>
            </w:hyperlink>
            <w:r w:rsidRPr="5C99EEFA">
              <w:t>).</w:t>
            </w:r>
            <w:r w:rsidR="005F5A72">
              <w:t xml:space="preserve"> </w:t>
            </w:r>
            <w:r w:rsidRPr="5C99EEFA">
              <w:rPr>
                <w:rFonts w:eastAsia="Calibri"/>
                <w:color w:val="000000" w:themeColor="text1"/>
              </w:rPr>
              <w:t>Television is the most regulated media in Spain. As in other European countries, the first television channels were public—that is, managed by the public a</w:t>
            </w:r>
            <w:r w:rsidR="002C631B">
              <w:rPr>
                <w:rFonts w:eastAsia="Calibri"/>
                <w:color w:val="000000" w:themeColor="text1"/>
              </w:rPr>
              <w:t>d</w:t>
            </w:r>
            <w:r w:rsidRPr="5C99EEFA">
              <w:rPr>
                <w:rFonts w:eastAsia="Calibri"/>
                <w:color w:val="000000" w:themeColor="text1"/>
              </w:rPr>
              <w:t>ministration</w:t>
            </w:r>
            <w:r w:rsidR="002C631B" w:rsidRPr="002C631B">
              <w:rPr>
                <w:rFonts w:eastAsia="Calibri"/>
                <w:color w:val="000000" w:themeColor="text1"/>
              </w:rPr>
              <w:t>—</w:t>
            </w:r>
            <w:r w:rsidRPr="5C99EEFA">
              <w:rPr>
                <w:rFonts w:eastAsia="Calibri"/>
                <w:color w:val="000000" w:themeColor="text1"/>
              </w:rPr>
              <w:t xml:space="preserve"> </w:t>
            </w:r>
            <w:r w:rsidRPr="005F5A72">
              <w:rPr>
                <w:rFonts w:eastAsia="Calibri"/>
                <w:color w:val="000000" w:themeColor="text1"/>
              </w:rPr>
              <w:t>but in Spain this occurred under the fascist Gover</w:t>
            </w:r>
            <w:r w:rsidR="005F5A72">
              <w:rPr>
                <w:rFonts w:eastAsia="Calibri"/>
                <w:color w:val="000000" w:themeColor="text1"/>
              </w:rPr>
              <w:t>n</w:t>
            </w:r>
            <w:r w:rsidRPr="005F5A72">
              <w:rPr>
                <w:rFonts w:eastAsia="Calibri"/>
                <w:color w:val="000000" w:themeColor="text1"/>
              </w:rPr>
              <w:t xml:space="preserve">ment of General Franco and entailed much greater control and censorship than in Western European democracies (Rueda Laffond and Coronado Ruiz 2010). </w:t>
            </w:r>
          </w:p>
          <w:p w14:paraId="4F6024F1" w14:textId="496CE8CA" w:rsidR="00522F0D" w:rsidRPr="008A4D54" w:rsidRDefault="00D97AF7" w:rsidP="00522F0D">
            <w:pPr>
              <w:cnfStyle w:val="000000100000" w:firstRow="0" w:lastRow="0" w:firstColumn="0" w:lastColumn="0" w:oddVBand="0" w:evenVBand="0" w:oddHBand="1" w:evenHBand="0" w:firstRowFirstColumn="0" w:firstRowLastColumn="0" w:lastRowFirstColumn="0" w:lastRowLastColumn="0"/>
              <w:rPr>
                <w:color w:val="000000" w:themeColor="text1"/>
              </w:rPr>
            </w:pPr>
            <w:r>
              <w:rPr>
                <w:rFonts w:eastAsia="Calibri"/>
                <w:color w:val="000000" w:themeColor="text1"/>
              </w:rPr>
              <w:t>I</w:t>
            </w:r>
            <w:r w:rsidRPr="005F5A72">
              <w:rPr>
                <w:rFonts w:eastAsia="Calibri"/>
                <w:color w:val="000000" w:themeColor="text1"/>
              </w:rPr>
              <w:t>n addition, contrary to</w:t>
            </w:r>
            <w:r w:rsidR="00816ADE">
              <w:rPr>
                <w:rFonts w:eastAsia="Calibri"/>
                <w:color w:val="000000" w:themeColor="text1"/>
              </w:rPr>
              <w:t xml:space="preserve"> </w:t>
            </w:r>
            <w:r>
              <w:rPr>
                <w:rFonts w:eastAsia="Calibri"/>
                <w:color w:val="000000"/>
              </w:rPr>
              <w:t xml:space="preserve">practices in other European countries, most of their income </w:t>
            </w:r>
            <w:r w:rsidR="002C631B">
              <w:rPr>
                <w:rFonts w:eastAsia="Calibri"/>
                <w:color w:val="000000"/>
              </w:rPr>
              <w:t xml:space="preserve">was </w:t>
            </w:r>
            <w:r>
              <w:rPr>
                <w:rFonts w:eastAsia="Calibri"/>
                <w:color w:val="000000"/>
              </w:rPr>
              <w:t xml:space="preserve">derived from advertising rather than </w:t>
            </w:r>
            <w:r w:rsidRPr="5C99EEFA">
              <w:rPr>
                <w:rFonts w:eastAsia="Calibri"/>
                <w:color w:val="000000" w:themeColor="text1"/>
              </w:rPr>
              <w:t xml:space="preserve">from public subsidies. </w:t>
            </w:r>
          </w:p>
          <w:p w14:paraId="36760A6B" w14:textId="77777777" w:rsidR="00522F0D" w:rsidRDefault="00522F0D" w:rsidP="00522F0D">
            <w:pPr>
              <w:cnfStyle w:val="000000100000" w:firstRow="0" w:lastRow="0" w:firstColumn="0" w:lastColumn="0" w:oddVBand="0" w:evenVBand="0" w:oddHBand="1" w:evenHBand="0" w:firstRowFirstColumn="0" w:firstRowLastColumn="0" w:lastRowFirstColumn="0" w:lastRowLastColumn="0"/>
              <w:rPr>
                <w:rFonts w:eastAsia="Calibri"/>
                <w:color w:val="000000" w:themeColor="text1"/>
              </w:rPr>
            </w:pPr>
          </w:p>
          <w:p w14:paraId="697A6EAE" w14:textId="02BD023A" w:rsidR="00522F0D" w:rsidRPr="00694BA8" w:rsidRDefault="00D97AF7" w:rsidP="00522F0D">
            <w:pPr>
              <w:cnfStyle w:val="000000100000" w:firstRow="0" w:lastRow="0" w:firstColumn="0" w:lastColumn="0" w:oddVBand="0" w:evenVBand="0" w:oddHBand="1" w:evenHBand="0" w:firstRowFirstColumn="0" w:firstRowLastColumn="0" w:lastRowFirstColumn="0" w:lastRowLastColumn="0"/>
              <w:rPr>
                <w:rFonts w:eastAsia="Calibri"/>
                <w:color w:val="000000" w:themeColor="text1"/>
              </w:rPr>
            </w:pPr>
            <w:r w:rsidRPr="00694BA8">
              <w:rPr>
                <w:rFonts w:eastAsia="Calibri"/>
                <w:color w:val="000000" w:themeColor="text1"/>
              </w:rPr>
              <w:t xml:space="preserve">According to </w:t>
            </w:r>
            <w:r w:rsidR="002C631B">
              <w:rPr>
                <w:rFonts w:eastAsia="Calibri"/>
                <w:color w:val="000000" w:themeColor="text1"/>
              </w:rPr>
              <w:t xml:space="preserve">the </w:t>
            </w:r>
            <w:r w:rsidRPr="00694BA8">
              <w:rPr>
                <w:rFonts w:eastAsia="Calibri"/>
                <w:color w:val="000000" w:themeColor="text1"/>
              </w:rPr>
              <w:t xml:space="preserve">RTVE (the Spanish public </w:t>
            </w:r>
            <w:r w:rsidR="002C631B">
              <w:rPr>
                <w:rFonts w:eastAsia="Calibri"/>
                <w:color w:val="000000" w:themeColor="text1"/>
              </w:rPr>
              <w:t>TV broadcaster</w:t>
            </w:r>
            <w:r w:rsidRPr="00694BA8">
              <w:rPr>
                <w:rFonts w:eastAsia="Calibri"/>
                <w:color w:val="000000" w:themeColor="text1"/>
              </w:rPr>
              <w:t xml:space="preserve">) </w:t>
            </w:r>
            <w:hyperlink r:id="rId168" w:history="1">
              <w:r w:rsidRPr="00694BA8">
                <w:rPr>
                  <w:rStyle w:val="Hyperlink"/>
                  <w:rFonts w:eastAsia="Calibri"/>
                  <w:color w:val="000000" w:themeColor="text1"/>
                </w:rPr>
                <w:t>Statute from 1980</w:t>
              </w:r>
            </w:hyperlink>
            <w:r w:rsidRPr="00694BA8">
              <w:rPr>
                <w:rFonts w:eastAsia="Calibri"/>
                <w:color w:val="000000" w:themeColor="text1"/>
              </w:rPr>
              <w:t>, advertising was looked upon as a limited source of funding,</w:t>
            </w:r>
            <w:r w:rsidRPr="00694BA8">
              <w:rPr>
                <w:color w:val="000000" w:themeColor="text1"/>
              </w:rPr>
              <w:t xml:space="preserve"> </w:t>
            </w:r>
            <w:r w:rsidRPr="00694BA8">
              <w:rPr>
                <w:rFonts w:eastAsia="Calibri"/>
                <w:color w:val="000000" w:themeColor="text1"/>
              </w:rPr>
              <w:t xml:space="preserve">since the main financing was charged to the General State Budgets, but article 32 of the RTVE Statute established that the financing of the management companies of the public Broadcasting and TVE services would also be carried out with </w:t>
            </w:r>
            <w:r w:rsidR="00AF7B27">
              <w:rPr>
                <w:rFonts w:eastAsia="Calibri"/>
                <w:color w:val="000000" w:themeColor="text1"/>
              </w:rPr>
              <w:t>‘</w:t>
            </w:r>
            <w:r w:rsidRPr="00694BA8">
              <w:rPr>
                <w:rFonts w:eastAsia="Calibri"/>
                <w:color w:val="000000" w:themeColor="text1"/>
              </w:rPr>
              <w:t>a limited participation in the advertising market</w:t>
            </w:r>
            <w:r w:rsidR="00AF7B27">
              <w:rPr>
                <w:rFonts w:eastAsia="Calibri"/>
                <w:color w:val="000000" w:themeColor="text1"/>
              </w:rPr>
              <w:t>’</w:t>
            </w:r>
            <w:r w:rsidRPr="00694BA8">
              <w:rPr>
                <w:rFonts w:eastAsia="Calibri"/>
                <w:color w:val="000000" w:themeColor="text1"/>
              </w:rPr>
              <w:t xml:space="preserve"> </w:t>
            </w:r>
            <w:r w:rsidR="00AF7B27">
              <w:rPr>
                <w:rFonts w:eastAsia="Calibri"/>
                <w:color w:val="000000" w:themeColor="text1"/>
              </w:rPr>
              <w:t xml:space="preserve">However, </w:t>
            </w:r>
            <w:r w:rsidRPr="00694BA8">
              <w:rPr>
                <w:rFonts w:eastAsia="Calibri"/>
                <w:color w:val="000000" w:themeColor="text1"/>
              </w:rPr>
              <w:t>this rule was largely ignored until 2010, when a new General Law on Audiovisual Communication was published, changing</w:t>
            </w:r>
          </w:p>
          <w:p w14:paraId="18F4F1D0" w14:textId="77777777" w:rsidR="00522F0D" w:rsidRDefault="00D97AF7" w:rsidP="00522F0D">
            <w:pPr>
              <w:cnfStyle w:val="000000100000" w:firstRow="0" w:lastRow="0" w:firstColumn="0" w:lastColumn="0" w:oddVBand="0" w:evenVBand="0" w:oddHBand="1" w:evenHBand="0" w:firstRowFirstColumn="0" w:firstRowLastColumn="0" w:lastRowFirstColumn="0" w:lastRowLastColumn="0"/>
              <w:rPr>
                <w:rFonts w:eastAsia="Calibri"/>
                <w:color w:val="000000"/>
              </w:rPr>
            </w:pPr>
            <w:r w:rsidRPr="00694BA8">
              <w:rPr>
                <w:rFonts w:eastAsia="Calibri"/>
                <w:color w:val="000000" w:themeColor="text1"/>
              </w:rPr>
              <w:t>the funding system of RTVE</w:t>
            </w:r>
            <w:r w:rsidR="00DB080E">
              <w:rPr>
                <w:rFonts w:eastAsia="Calibri"/>
                <w:color w:val="000000" w:themeColor="text1"/>
              </w:rPr>
              <w:t>.</w:t>
            </w:r>
            <w:r w:rsidRPr="00694BA8">
              <w:rPr>
                <w:rFonts w:eastAsia="Calibri"/>
                <w:color w:val="000000" w:themeColor="text1"/>
              </w:rPr>
              <w:t xml:space="preserve"> Advertising was completely banned from national public channels</w:t>
            </w:r>
            <w:r w:rsidRPr="5C99EEFA">
              <w:rPr>
                <w:rFonts w:eastAsia="Calibri"/>
                <w:color w:val="000000" w:themeColor="text1"/>
              </w:rPr>
              <w:t>.</w:t>
            </w:r>
          </w:p>
          <w:p w14:paraId="07ED81EC" w14:textId="77777777" w:rsidR="00522F0D" w:rsidRDefault="00522F0D" w:rsidP="00522F0D">
            <w:pPr>
              <w:cnfStyle w:val="000000100000" w:firstRow="0" w:lastRow="0" w:firstColumn="0" w:lastColumn="0" w:oddVBand="0" w:evenVBand="0" w:oddHBand="1" w:evenHBand="0" w:firstRowFirstColumn="0" w:firstRowLastColumn="0" w:lastRowFirstColumn="0" w:lastRowLastColumn="0"/>
              <w:rPr>
                <w:rFonts w:eastAsia="Calibri"/>
                <w:color w:val="000000" w:themeColor="text1"/>
              </w:rPr>
            </w:pPr>
          </w:p>
          <w:p w14:paraId="3D9DE78B" w14:textId="4D4F3627" w:rsidR="00522F0D" w:rsidRPr="001D1BAD" w:rsidRDefault="00D97AF7" w:rsidP="00D92AD9">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In 1994, the European Directive 89/552 Televisi</w:t>
            </w:r>
            <w:r w:rsidR="002C631B">
              <w:rPr>
                <w:rFonts w:eastAsia="Calibri"/>
                <w:color w:val="000000"/>
              </w:rPr>
              <w:t>o</w:t>
            </w:r>
            <w:r>
              <w:rPr>
                <w:rFonts w:eastAsia="Calibri"/>
                <w:color w:val="000000"/>
              </w:rPr>
              <w:t>n Without Borders was incorporated into</w:t>
            </w:r>
            <w:r w:rsidR="00DB080E">
              <w:rPr>
                <w:rFonts w:eastAsia="Calibri"/>
                <w:color w:val="000000"/>
              </w:rPr>
              <w:t xml:space="preserve"> </w:t>
            </w:r>
            <w:r>
              <w:rPr>
                <w:rFonts w:eastAsia="Calibri"/>
                <w:color w:val="000000"/>
              </w:rPr>
              <w:t>the Spanish regulation system through the publication of Law 25/1994. The new General Law</w:t>
            </w:r>
            <w:r w:rsidR="00DB080E">
              <w:rPr>
                <w:rFonts w:eastAsia="Calibri"/>
                <w:color w:val="000000"/>
              </w:rPr>
              <w:t xml:space="preserve"> </w:t>
            </w:r>
            <w:r>
              <w:rPr>
                <w:rFonts w:eastAsia="Calibri"/>
                <w:color w:val="000000"/>
              </w:rPr>
              <w:t>on Audiovisual Communication 7/2010 regulated the commercial time slots and banned ads for</w:t>
            </w:r>
            <w:r w:rsidR="00DB080E">
              <w:rPr>
                <w:rFonts w:eastAsia="Calibri"/>
                <w:color w:val="000000"/>
              </w:rPr>
              <w:t xml:space="preserve"> </w:t>
            </w:r>
            <w:r>
              <w:rPr>
                <w:rFonts w:eastAsia="Calibri"/>
                <w:color w:val="000000"/>
              </w:rPr>
              <w:t>products such as tobacco, alcohol, and medicines.</w:t>
            </w:r>
          </w:p>
        </w:tc>
      </w:tr>
      <w:tr w:rsidR="000F492D" w14:paraId="76751BA6"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81A301" w14:textId="77777777" w:rsidR="002A1A0A" w:rsidRPr="00203503" w:rsidRDefault="00D97AF7" w:rsidP="002A1A0A">
            <w:pPr>
              <w:spacing w:line="276" w:lineRule="auto"/>
              <w:rPr>
                <w:rFonts w:cs="Arial"/>
                <w:color w:val="3A3A3A" w:themeColor="background2" w:themeShade="40"/>
              </w:rPr>
            </w:pPr>
            <w:r>
              <w:rPr>
                <w:rFonts w:cs="Arial"/>
                <w:color w:val="747474" w:themeColor="background2" w:themeShade="80"/>
              </w:rPr>
              <w:lastRenderedPageBreak/>
              <w:t>8.2</w:t>
            </w:r>
          </w:p>
        </w:tc>
        <w:tc>
          <w:tcPr>
            <w:tcW w:w="2126" w:type="dxa"/>
          </w:tcPr>
          <w:p w14:paraId="2557309C" w14:textId="77777777" w:rsidR="002A1A0A" w:rsidRDefault="00D97AF7" w:rsidP="002A1A0A">
            <w:pPr>
              <w:pStyle w:val="Subjectcolumntext"/>
              <w:cnfStyle w:val="000000000000" w:firstRow="0" w:lastRow="0" w:firstColumn="0" w:lastColumn="0" w:oddVBand="0" w:evenVBand="0" w:oddHBand="0" w:evenHBand="0" w:firstRowFirstColumn="0" w:firstRowLastColumn="0" w:lastRowFirstColumn="0" w:lastRowLastColumn="0"/>
            </w:pPr>
            <w:r w:rsidRPr="0002617C">
              <w:t>How is branded content described and ordered in governance?</w:t>
            </w:r>
          </w:p>
        </w:tc>
        <w:tc>
          <w:tcPr>
            <w:tcW w:w="2127" w:type="dxa"/>
          </w:tcPr>
          <w:p w14:paraId="1CF0A2F2" w14:textId="77777777" w:rsidR="002A1A0A" w:rsidRDefault="002A1A0A" w:rsidP="002A1A0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6A7E253" w14:textId="77777777" w:rsidR="002A1A0A" w:rsidRDefault="00D97AF7" w:rsidP="001D1BAD">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rPr>
            </w:pPr>
            <w:r w:rsidRPr="002A1A0A">
              <w:rPr>
                <w:rStyle w:val="normaltextrun"/>
                <w:rFonts w:eastAsia="Calibri" w:cs="Arial"/>
                <w:color w:val="000000" w:themeColor="text1"/>
              </w:rPr>
              <w:t>The Unfair Commercial Practices Directive (</w:t>
            </w:r>
            <w:hyperlink r:id="rId169" w:history="1">
              <w:r w:rsidRPr="002A1A0A">
                <w:rPr>
                  <w:rStyle w:val="Hyperlink"/>
                  <w:rFonts w:cs="Arial"/>
                  <w:color w:val="0563C1"/>
                </w:rPr>
                <w:t>Directive 2005/29/EC</w:t>
              </w:r>
            </w:hyperlink>
            <w:r w:rsidRPr="002A1A0A">
              <w:rPr>
                <w:rStyle w:val="normaltextrun"/>
                <w:rFonts w:eastAsia="Calibri" w:cs="Arial"/>
                <w:color w:val="000000" w:themeColor="text1"/>
              </w:rPr>
              <w:t xml:space="preserve">) classifies undisclosed commercial communication as a misleading omission, which is a prohibited practice. </w:t>
            </w:r>
            <w:r w:rsidRPr="002A1A0A">
              <w:rPr>
                <w:rFonts w:cs="Arial"/>
              </w:rPr>
              <w:t>The Audiovisual Media Services Directive</w:t>
            </w:r>
            <w:r w:rsidRPr="002A1A0A">
              <w:rPr>
                <w:rFonts w:eastAsia="Calibri" w:cs="Arial"/>
                <w:color w:val="000000" w:themeColor="text1"/>
              </w:rPr>
              <w:t xml:space="preserve"> (</w:t>
            </w:r>
            <w:hyperlink r:id="rId170" w:history="1">
              <w:r w:rsidRPr="002A1A0A">
                <w:rPr>
                  <w:rStyle w:val="Hyperlink"/>
                  <w:rFonts w:cs="Arial"/>
                </w:rPr>
                <w:t>Directive 2018/1808</w:t>
              </w:r>
            </w:hyperlink>
            <w:r w:rsidRPr="002A1A0A">
              <w:rPr>
                <w:rFonts w:eastAsia="Calibri" w:cs="Arial"/>
                <w:color w:val="000000" w:themeColor="text1"/>
              </w:rPr>
              <w:t xml:space="preserve">) regulates audiovisual commercial communications, sponsorship and product placement. </w:t>
            </w:r>
          </w:p>
          <w:p w14:paraId="01A25DC7" w14:textId="77777777" w:rsidR="00F41ACD" w:rsidRDefault="00F41ACD" w:rsidP="001D1BAD">
            <w:pP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rPr>
            </w:pPr>
          </w:p>
          <w:p w14:paraId="4CF443AE" w14:textId="77777777" w:rsidR="00F41ACD" w:rsidRDefault="00D97AF7" w:rsidP="001D1BAD">
            <w:pPr>
              <w:cnfStyle w:val="000000000000" w:firstRow="0" w:lastRow="0" w:firstColumn="0" w:lastColumn="0" w:oddVBand="0" w:evenVBand="0" w:oddHBand="0" w:evenHBand="0" w:firstRowFirstColumn="0" w:firstRowLastColumn="0" w:lastRowFirstColumn="0" w:lastRowLastColumn="0"/>
            </w:pPr>
            <w:r>
              <w:t xml:space="preserve">The Spanish General Law </w:t>
            </w:r>
            <w:r w:rsidR="002B22C8">
              <w:t>of Audiovisual C</w:t>
            </w:r>
            <w:r w:rsidR="009E21DE">
              <w:t>ommunication (</w:t>
            </w:r>
            <w:r w:rsidR="009E21DE">
              <w:rPr>
                <w:rStyle w:val="hgkelc"/>
                <w:lang w:val="en"/>
              </w:rPr>
              <w:t xml:space="preserve">Ley General de Comunicación Audiovisual, </w:t>
            </w:r>
            <w:r>
              <w:t>LGCA</w:t>
            </w:r>
            <w:r w:rsidR="00E4240C">
              <w:t>, 2022</w:t>
            </w:r>
            <w:r>
              <w:t>) (</w:t>
            </w:r>
            <w:hyperlink r:id="rId171" w:history="1">
              <w:r w:rsidRPr="003D0E6F">
                <w:rPr>
                  <w:rStyle w:val="Hyperlink"/>
                </w:rPr>
                <w:t>BOE, 2022a</w:t>
              </w:r>
            </w:hyperlink>
            <w:r>
              <w:t xml:space="preserve">.) incorporates the </w:t>
            </w:r>
            <w:r w:rsidR="00FC218E">
              <w:t xml:space="preserve">2018 EU Audiovisual Media Services Directive which sets </w:t>
            </w:r>
            <w:r w:rsidR="00D47CB7">
              <w:t xml:space="preserve">our EU rules governing advertising, sponsorship, product placement and other commercial references on </w:t>
            </w:r>
            <w:r w:rsidR="00527988">
              <w:t>television and on-demand programme services.</w:t>
            </w:r>
            <w:r w:rsidR="00BA272B">
              <w:t xml:space="preserve"> </w:t>
            </w:r>
            <w:r>
              <w:t xml:space="preserve">Article 129 </w:t>
            </w:r>
            <w:r w:rsidR="008C6107">
              <w:t xml:space="preserve">of the LGCA </w:t>
            </w:r>
            <w:r w:rsidR="00BA272B">
              <w:t xml:space="preserve">describes the </w:t>
            </w:r>
            <w:r w:rsidR="009C135F">
              <w:t xml:space="preserve">scope of rules on </w:t>
            </w:r>
            <w:r w:rsidR="00EB700A">
              <w:t xml:space="preserve">paid </w:t>
            </w:r>
            <w:r w:rsidR="009C135F">
              <w:t xml:space="preserve">commercial references in content </w:t>
            </w:r>
            <w:r w:rsidR="00EB700A">
              <w:t xml:space="preserve">(product placement) </w:t>
            </w:r>
            <w:r w:rsidR="009C135F">
              <w:t xml:space="preserve">as </w:t>
            </w:r>
            <w:r w:rsidR="00EB700A">
              <w:t>‘</w:t>
            </w:r>
            <w:r>
              <w:t>all forms of audiovisual communication that includes, shows, or refers to a product, service, or trade name within a program or a video generated by a user in exchange for remuneration or similar compensation</w:t>
            </w:r>
            <w:r w:rsidR="00EB700A">
              <w:t>’.</w:t>
            </w:r>
          </w:p>
          <w:p w14:paraId="51D54061" w14:textId="77777777" w:rsidR="0007002B" w:rsidRDefault="0007002B" w:rsidP="00443A39">
            <w:pPr>
              <w:cnfStyle w:val="000000000000" w:firstRow="0" w:lastRow="0" w:firstColumn="0" w:lastColumn="0" w:oddVBand="0" w:evenVBand="0" w:oddHBand="0" w:evenHBand="0" w:firstRowFirstColumn="0" w:firstRowLastColumn="0" w:lastRowFirstColumn="0" w:lastRowLastColumn="0"/>
            </w:pPr>
          </w:p>
          <w:p w14:paraId="7D13AA31" w14:textId="77777777" w:rsidR="0007002B" w:rsidRPr="00EB700A" w:rsidRDefault="00D97AF7" w:rsidP="00443A39">
            <w:pPr>
              <w:cnfStyle w:val="000000000000" w:firstRow="0" w:lastRow="0" w:firstColumn="0" w:lastColumn="0" w:oddVBand="0" w:evenVBand="0" w:oddHBand="0" w:evenHBand="0" w:firstRowFirstColumn="0" w:firstRowLastColumn="0" w:lastRowFirstColumn="0" w:lastRowLastColumn="0"/>
            </w:pPr>
            <w:r>
              <w:t>See also 7.2</w:t>
            </w:r>
          </w:p>
        </w:tc>
      </w:tr>
    </w:tbl>
    <w:p w14:paraId="05B2A745" w14:textId="77777777" w:rsidR="009143BA" w:rsidRPr="00EE67D5" w:rsidRDefault="00D97AF7" w:rsidP="009143BA">
      <w:pPr>
        <w:pStyle w:val="SectionHead"/>
      </w:pPr>
      <w:bookmarkStart w:id="15" w:name="_Toc170136349"/>
      <w:r w:rsidRPr="00EE67D5">
        <w:t>Audio</w:t>
      </w:r>
      <w:bookmarkEnd w:id="15"/>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0F492D" w14:paraId="13B80005"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31C7AE33" w14:textId="77777777" w:rsidR="009143BA" w:rsidRPr="00686D2A" w:rsidRDefault="00D97AF7" w:rsidP="00F92CC7">
            <w:pPr>
              <w:pStyle w:val="Tableheadings"/>
            </w:pPr>
            <w:r w:rsidRPr="00686D2A">
              <w:rPr>
                <w:b/>
                <w:bCs/>
              </w:rPr>
              <w:lastRenderedPageBreak/>
              <w:t>Item</w:t>
            </w:r>
          </w:p>
        </w:tc>
        <w:tc>
          <w:tcPr>
            <w:tcW w:w="2126" w:type="dxa"/>
            <w:tcBorders>
              <w:bottom w:val="none" w:sz="0" w:space="0" w:color="auto"/>
            </w:tcBorders>
          </w:tcPr>
          <w:p w14:paraId="5472B3D7" w14:textId="77777777" w:rsidR="009143BA"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7" w:type="dxa"/>
            <w:tcBorders>
              <w:bottom w:val="none" w:sz="0" w:space="0" w:color="auto"/>
            </w:tcBorders>
          </w:tcPr>
          <w:p w14:paraId="4F6A2CBA" w14:textId="77777777" w:rsidR="009143BA"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3742AB72" w14:textId="77777777" w:rsidR="009143BA"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424EE4">
              <w:rPr>
                <w:b/>
                <w:bCs/>
              </w:rPr>
              <w:t>Description</w:t>
            </w:r>
          </w:p>
        </w:tc>
      </w:tr>
      <w:tr w:rsidR="000F492D" w14:paraId="184D105A"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4E57DDC" w14:textId="77777777" w:rsidR="009143BA" w:rsidRPr="00203503" w:rsidRDefault="00D97AF7" w:rsidP="00F92CC7">
            <w:pPr>
              <w:spacing w:line="276" w:lineRule="auto"/>
              <w:rPr>
                <w:rFonts w:cs="Arial"/>
                <w:color w:val="747474" w:themeColor="background2" w:themeShade="80"/>
              </w:rPr>
            </w:pPr>
            <w:r>
              <w:rPr>
                <w:rFonts w:cs="Arial"/>
                <w:color w:val="747474" w:themeColor="background2" w:themeShade="80"/>
              </w:rPr>
              <w:t>9.1</w:t>
            </w:r>
          </w:p>
        </w:tc>
        <w:tc>
          <w:tcPr>
            <w:tcW w:w="2126" w:type="dxa"/>
            <w:tcBorders>
              <w:top w:val="none" w:sz="0" w:space="0" w:color="auto"/>
              <w:bottom w:val="none" w:sz="0" w:space="0" w:color="auto"/>
            </w:tcBorders>
          </w:tcPr>
          <w:p w14:paraId="431A23AF" w14:textId="77777777" w:rsidR="009143BA" w:rsidRPr="000004F6"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456443">
              <w:rPr>
                <w:sz w:val="21"/>
                <w:szCs w:val="21"/>
              </w:rPr>
              <w:t xml:space="preserve">Rules/governance arrangements across sector </w:t>
            </w:r>
            <w:r w:rsidRPr="00E910C8">
              <w:rPr>
                <w:b w:val="0"/>
                <w:bCs w:val="0"/>
                <w:sz w:val="21"/>
                <w:szCs w:val="21"/>
              </w:rPr>
              <w:t>(</w:t>
            </w:r>
            <w:r w:rsidR="009A1DD3">
              <w:rPr>
                <w:b w:val="0"/>
                <w:bCs w:val="0"/>
                <w:sz w:val="21"/>
                <w:szCs w:val="21"/>
              </w:rPr>
              <w:t xml:space="preserve">radio, podcasting; </w:t>
            </w:r>
            <w:r w:rsidRPr="00E910C8">
              <w:rPr>
                <w:b w:val="0"/>
                <w:bCs w:val="0"/>
                <w:sz w:val="21"/>
                <w:szCs w:val="21"/>
              </w:rPr>
              <w:t>platform specific</w:t>
            </w:r>
            <w:r w:rsidR="009A1DD3">
              <w:rPr>
                <w:b w:val="0"/>
                <w:bCs w:val="0"/>
                <w:sz w:val="21"/>
                <w:szCs w:val="21"/>
              </w:rPr>
              <w:t xml:space="preserve">, </w:t>
            </w:r>
            <w:r w:rsidRPr="00E910C8">
              <w:rPr>
                <w:b w:val="0"/>
                <w:bCs w:val="0"/>
                <w:sz w:val="21"/>
                <w:szCs w:val="21"/>
              </w:rPr>
              <w:t>multiplatform)</w:t>
            </w:r>
          </w:p>
        </w:tc>
        <w:tc>
          <w:tcPr>
            <w:tcW w:w="2127" w:type="dxa"/>
            <w:tcBorders>
              <w:top w:val="none" w:sz="0" w:space="0" w:color="auto"/>
              <w:bottom w:val="none" w:sz="0" w:space="0" w:color="auto"/>
            </w:tcBorders>
          </w:tcPr>
          <w:p w14:paraId="5CD7C458" w14:textId="77777777" w:rsidR="009143BA" w:rsidRPr="00745C48" w:rsidRDefault="009143BA"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C9440A7" w14:textId="77777777" w:rsidR="009143BA" w:rsidRDefault="00D97AF7" w:rsidP="00E04C42">
            <w:pPr>
              <w:cnfStyle w:val="000000100000" w:firstRow="0" w:lastRow="0" w:firstColumn="0" w:lastColumn="0" w:oddVBand="0" w:evenVBand="0" w:oddHBand="1" w:evenHBand="0" w:firstRowFirstColumn="0" w:firstRowLastColumn="0" w:lastRowFirstColumn="0" w:lastRowLastColumn="0"/>
              <w:rPr>
                <w:rStyle w:val="normaltextrun"/>
                <w:rFonts w:eastAsia="Calibri" w:cs="Arial"/>
                <w:color w:val="000000" w:themeColor="text1"/>
              </w:rPr>
            </w:pPr>
            <w:r w:rsidRPr="00E04C42">
              <w:rPr>
                <w:rStyle w:val="normaltextrun"/>
                <w:rFonts w:eastAsia="Calibri" w:cs="Arial"/>
                <w:color w:val="000000" w:themeColor="text1"/>
              </w:rPr>
              <w:t>In the European Union, the Unfair Commercial Practices Directive (</w:t>
            </w:r>
            <w:hyperlink r:id="rId172" w:history="1">
              <w:r w:rsidRPr="00E04C42">
                <w:rPr>
                  <w:rStyle w:val="Hyperlink"/>
                  <w:rFonts w:cs="Arial"/>
                  <w:color w:val="0563C1"/>
                </w:rPr>
                <w:t>Directive 2005/29/EC</w:t>
              </w:r>
            </w:hyperlink>
            <w:r w:rsidRPr="00E04C42">
              <w:rPr>
                <w:rStyle w:val="normaltextrun"/>
                <w:rFonts w:eastAsia="Calibri" w:cs="Arial"/>
                <w:color w:val="000000" w:themeColor="text1"/>
              </w:rPr>
              <w:t>) and the Misleading and Comparative Advertising Directive (</w:t>
            </w:r>
            <w:hyperlink r:id="rId173" w:history="1">
              <w:r w:rsidRPr="00E04C42">
                <w:rPr>
                  <w:rStyle w:val="Hyperlink"/>
                  <w:rFonts w:cs="Arial"/>
                </w:rPr>
                <w:t>Directive 2006/114/EC</w:t>
              </w:r>
            </w:hyperlink>
            <w:r w:rsidRPr="00E04C42">
              <w:rPr>
                <w:rStyle w:val="normaltextrun"/>
                <w:rFonts w:eastAsia="Calibri" w:cs="Arial"/>
                <w:color w:val="000000" w:themeColor="text1"/>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E04C42">
              <w:rPr>
                <w:rStyle w:val="normaltextrun"/>
                <w:rFonts w:eastAsia="Calibri" w:cs="Arial"/>
                <w:b/>
                <w:bCs/>
                <w:color w:val="000000" w:themeColor="text1"/>
              </w:rPr>
              <w:t>6.1</w:t>
            </w:r>
            <w:r w:rsidRPr="00E04C42">
              <w:rPr>
                <w:rStyle w:val="normaltextrun"/>
                <w:rFonts w:eastAsia="Calibri" w:cs="Arial"/>
                <w:color w:val="000000" w:themeColor="text1"/>
              </w:rPr>
              <w:t>). The Unfair Commercial Practices Directive (</w:t>
            </w:r>
            <w:hyperlink r:id="rId174" w:history="1">
              <w:r w:rsidRPr="00E04C42">
                <w:rPr>
                  <w:rStyle w:val="Hyperlink"/>
                  <w:rFonts w:cs="Arial"/>
                  <w:color w:val="0563C1"/>
                </w:rPr>
                <w:t>Directive 2005/29/EC</w:t>
              </w:r>
            </w:hyperlink>
            <w:r w:rsidRPr="00E04C42">
              <w:rPr>
                <w:rStyle w:val="normaltextrun"/>
                <w:rFonts w:eastAsia="Calibri" w:cs="Arial"/>
                <w:color w:val="000000" w:themeColor="text1"/>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p>
          <w:p w14:paraId="3E813AF5" w14:textId="77777777" w:rsidR="006065BF" w:rsidRDefault="006065BF" w:rsidP="00E04C42">
            <w:pPr>
              <w:cnfStyle w:val="000000100000" w:firstRow="0" w:lastRow="0" w:firstColumn="0" w:lastColumn="0" w:oddVBand="0" w:evenVBand="0" w:oddHBand="1" w:evenHBand="0" w:firstRowFirstColumn="0" w:firstRowLastColumn="0" w:lastRowFirstColumn="0" w:lastRowLastColumn="0"/>
              <w:rPr>
                <w:rStyle w:val="normaltextrun"/>
                <w:rFonts w:eastAsia="Calibri" w:cs="Arial"/>
                <w:color w:val="000000" w:themeColor="text1"/>
              </w:rPr>
            </w:pPr>
          </w:p>
          <w:p w14:paraId="7EBF9F3E" w14:textId="72DD66DB" w:rsidR="006065BF" w:rsidRPr="00E04C42" w:rsidRDefault="00D97AF7" w:rsidP="00E04C42">
            <w:pPr>
              <w:cnfStyle w:val="000000100000" w:firstRow="0" w:lastRow="0" w:firstColumn="0" w:lastColumn="0" w:oddVBand="0" w:evenVBand="0" w:oddHBand="1" w:evenHBand="0" w:firstRowFirstColumn="0" w:firstRowLastColumn="0" w:lastRowFirstColumn="0" w:lastRowLastColumn="0"/>
              <w:rPr>
                <w:rFonts w:cs="Arial"/>
              </w:rPr>
            </w:pPr>
            <w:r>
              <w:t>In domestic law</w:t>
            </w:r>
            <w:r w:rsidR="002C631B">
              <w:t>,</w:t>
            </w:r>
            <w:r>
              <w:t xml:space="preserve"> the main legislation is the </w:t>
            </w:r>
            <w:r w:rsidR="00CD68FE">
              <w:t>Spanish General Law 13/2022 of July 7 on Audiovisual Communication</w:t>
            </w:r>
            <w:r w:rsidR="00EF680D">
              <w:t>s</w:t>
            </w:r>
            <w:r w:rsidR="00CD68FE">
              <w:t xml:space="preserve"> (LGCA) (</w:t>
            </w:r>
            <w:hyperlink r:id="rId175" w:history="1">
              <w:r w:rsidR="00CD68FE" w:rsidRPr="003D0E6F">
                <w:rPr>
                  <w:rStyle w:val="Hyperlink"/>
                </w:rPr>
                <w:t>BOE, 2022a</w:t>
              </w:r>
            </w:hyperlink>
            <w:r w:rsidR="00CD68FE">
              <w:t>).</w:t>
            </w:r>
          </w:p>
        </w:tc>
      </w:tr>
      <w:tr w:rsidR="000F492D" w14:paraId="750311EE"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7905DD" w14:textId="77777777" w:rsidR="00D1019A" w:rsidRPr="00203503" w:rsidRDefault="00D97AF7" w:rsidP="00D1019A">
            <w:pPr>
              <w:spacing w:line="276" w:lineRule="auto"/>
              <w:rPr>
                <w:rFonts w:cs="Arial"/>
                <w:color w:val="3A3A3A" w:themeColor="background2" w:themeShade="40"/>
              </w:rPr>
            </w:pPr>
            <w:r>
              <w:rPr>
                <w:rFonts w:cs="Arial"/>
                <w:color w:val="747474" w:themeColor="background2" w:themeShade="80"/>
              </w:rPr>
              <w:t>9.2</w:t>
            </w:r>
          </w:p>
        </w:tc>
        <w:tc>
          <w:tcPr>
            <w:tcW w:w="2126" w:type="dxa"/>
          </w:tcPr>
          <w:p w14:paraId="40E2DFD4" w14:textId="77777777" w:rsidR="00D1019A" w:rsidRDefault="00D97AF7" w:rsidP="00D1019A">
            <w:pPr>
              <w:pStyle w:val="Subjectcolumntext"/>
              <w:cnfStyle w:val="000000000000" w:firstRow="0" w:lastRow="0" w:firstColumn="0" w:lastColumn="0" w:oddVBand="0" w:evenVBand="0" w:oddHBand="0" w:evenHBand="0" w:firstRowFirstColumn="0" w:firstRowLastColumn="0" w:lastRowFirstColumn="0" w:lastRowLastColumn="0"/>
            </w:pPr>
            <w:r w:rsidRPr="001F247C">
              <w:rPr>
                <w:sz w:val="21"/>
                <w:szCs w:val="21"/>
              </w:rPr>
              <w:t xml:space="preserve">How is </w:t>
            </w:r>
            <w:r>
              <w:rPr>
                <w:sz w:val="21"/>
                <w:szCs w:val="21"/>
              </w:rPr>
              <w:t xml:space="preserve">branded </w:t>
            </w:r>
            <w:r w:rsidRPr="001F247C">
              <w:rPr>
                <w:sz w:val="21"/>
                <w:szCs w:val="21"/>
              </w:rPr>
              <w:t>content described and ordered in governance?</w:t>
            </w:r>
          </w:p>
        </w:tc>
        <w:tc>
          <w:tcPr>
            <w:tcW w:w="2127" w:type="dxa"/>
          </w:tcPr>
          <w:p w14:paraId="5AB19B1C" w14:textId="77777777" w:rsidR="00D1019A" w:rsidRDefault="00D1019A" w:rsidP="00D1019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A986BDE" w14:textId="77777777" w:rsidR="00D1019A" w:rsidRDefault="00D97AF7" w:rsidP="00D1019A">
            <w:pPr>
              <w:cnfStyle w:val="000000000000" w:firstRow="0" w:lastRow="0" w:firstColumn="0" w:lastColumn="0" w:oddVBand="0" w:evenVBand="0" w:oddHBand="0" w:evenHBand="0" w:firstRowFirstColumn="0" w:firstRowLastColumn="0" w:lastRowFirstColumn="0" w:lastRowLastColumn="0"/>
            </w:pPr>
            <w:r w:rsidRPr="5C99EEFA">
              <w:t>According to the new Spanish General Law 13/2022 of July 7 on Audiovisual Communications (</w:t>
            </w:r>
            <w:r>
              <w:t>LGCA</w:t>
            </w:r>
            <w:r w:rsidRPr="5C99EEFA">
              <w:t>) (</w:t>
            </w:r>
            <w:hyperlink r:id="rId176" w:history="1">
              <w:r w:rsidRPr="5C99EEFA">
                <w:rPr>
                  <w:rStyle w:val="Hyperlink"/>
                </w:rPr>
                <w:t>BOE, 2022a</w:t>
              </w:r>
            </w:hyperlink>
            <w:r w:rsidRPr="5C99EEFA">
              <w:t>.) in relation to typology for audiovisual commercial communication in branded content, Article 129 mentions that product location is “all forms of audiovisual communication that includes, shows, or refers to a product, service, or trade name within a program or a video generated by a user in exchange for remuneration or similar compensation.”</w:t>
            </w:r>
          </w:p>
          <w:p w14:paraId="746F16A9" w14:textId="77777777" w:rsidR="00D1019A" w:rsidRDefault="00D1019A" w:rsidP="00D1019A">
            <w:pPr>
              <w:cnfStyle w:val="000000000000" w:firstRow="0" w:lastRow="0" w:firstColumn="0" w:lastColumn="0" w:oddVBand="0" w:evenVBand="0" w:oddHBand="0" w:evenHBand="0" w:firstRowFirstColumn="0" w:firstRowLastColumn="0" w:lastRowFirstColumn="0" w:lastRowLastColumn="0"/>
              <w:rPr>
                <w:color w:val="FF0000"/>
              </w:rPr>
            </w:pPr>
          </w:p>
          <w:p w14:paraId="64C54AA0" w14:textId="77777777" w:rsidR="00D1019A" w:rsidRDefault="00D97AF7" w:rsidP="00D1019A">
            <w:pPr>
              <w:cnfStyle w:val="000000000000" w:firstRow="0" w:lastRow="0" w:firstColumn="0" w:lastColumn="0" w:oddVBand="0" w:evenVBand="0" w:oddHBand="0" w:evenHBand="0" w:firstRowFirstColumn="0" w:firstRowLastColumn="0" w:lastRowFirstColumn="0" w:lastRowLastColumn="0"/>
              <w:rPr>
                <w:color w:val="000000" w:themeColor="text1"/>
              </w:rPr>
            </w:pPr>
            <w:r w:rsidRPr="00FB7674">
              <w:rPr>
                <w:color w:val="000000" w:themeColor="text1"/>
              </w:rPr>
              <w:t xml:space="preserve">With respect to radio advertising, in Spain there are several regulations that </w:t>
            </w:r>
            <w:r w:rsidR="00FB7674">
              <w:rPr>
                <w:color w:val="000000" w:themeColor="text1"/>
              </w:rPr>
              <w:t>apply</w:t>
            </w:r>
            <w:r w:rsidR="00343C02">
              <w:rPr>
                <w:color w:val="000000" w:themeColor="text1"/>
              </w:rPr>
              <w:t>.</w:t>
            </w:r>
          </w:p>
          <w:p w14:paraId="7FCCD86D" w14:textId="77777777" w:rsidR="00D1019A" w:rsidRPr="00FB7674" w:rsidRDefault="00D97AF7" w:rsidP="00D1019A">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The </w:t>
            </w:r>
            <w:hyperlink w:history="1">
              <w:r w:rsidRPr="00FB7674">
                <w:rPr>
                  <w:rStyle w:val="Hyperlink"/>
                  <w:color w:val="000000" w:themeColor="text1"/>
                </w:rPr>
                <w:t>Organic Law 10/1991</w:t>
              </w:r>
            </w:hyperlink>
            <w:r w:rsidRPr="00FB7674">
              <w:rPr>
                <w:color w:val="000000" w:themeColor="text1"/>
              </w:rPr>
              <w:t xml:space="preserve"> on electoral advertising on municipal radio broadcasting stations.</w:t>
            </w:r>
            <w:r>
              <w:rPr>
                <w:color w:val="000000" w:themeColor="text1"/>
              </w:rPr>
              <w:br/>
            </w:r>
          </w:p>
          <w:p w14:paraId="7097DAE9" w14:textId="77777777" w:rsidR="00D1019A" w:rsidRDefault="00000000" w:rsidP="00D1019A">
            <w:pPr>
              <w:cnfStyle w:val="000000000000" w:firstRow="0" w:lastRow="0" w:firstColumn="0" w:lastColumn="0" w:oddVBand="0" w:evenVBand="0" w:oddHBand="0" w:evenHBand="0" w:firstRowFirstColumn="0" w:firstRowLastColumn="0" w:lastRowFirstColumn="0" w:lastRowLastColumn="0"/>
              <w:rPr>
                <w:color w:val="000000" w:themeColor="text1"/>
              </w:rPr>
            </w:pPr>
            <w:hyperlink r:id="rId177" w:history="1">
              <w:r w:rsidR="00D97AF7" w:rsidRPr="00FB7674">
                <w:rPr>
                  <w:rStyle w:val="Hyperlink"/>
                  <w:color w:val="000000" w:themeColor="text1"/>
                </w:rPr>
                <w:t>Resolution of July 13, 2011, of the Secretary of State for Telecommunications and the Information Society</w:t>
              </w:r>
            </w:hyperlink>
            <w:r w:rsidR="00D97AF7" w:rsidRPr="00FB7674">
              <w:rPr>
                <w:color w:val="000000" w:themeColor="text1"/>
              </w:rPr>
              <w:t>, by which the Agreement of the Council of Ministers of June 10, 2011 is published, approving the digitization plan of the terrestrial sound broadcasting service. By this resolution, the Council of Ministers (government of Spain), in June 2011, approved the digitalization plan for the terrestrial sound broadcasting service to develop a digitalization plan respecting the existing audiovisual licenses for the provision of sound broadcasting services. by medium waves (hectometric), sound broadcasting in metric waves with frequency modulation and terrestrial digital sound broadcasting, which had to be adapted and transformed within the new digital technology.</w:t>
            </w:r>
          </w:p>
          <w:p w14:paraId="0CB60CAA" w14:textId="77777777" w:rsidR="0007002B" w:rsidRDefault="0007002B" w:rsidP="00D1019A">
            <w:pPr>
              <w:cnfStyle w:val="000000000000" w:firstRow="0" w:lastRow="0" w:firstColumn="0" w:lastColumn="0" w:oddVBand="0" w:evenVBand="0" w:oddHBand="0" w:evenHBand="0" w:firstRowFirstColumn="0" w:firstRowLastColumn="0" w:lastRowFirstColumn="0" w:lastRowLastColumn="0"/>
              <w:rPr>
                <w:color w:val="000000" w:themeColor="text1"/>
              </w:rPr>
            </w:pPr>
          </w:p>
          <w:p w14:paraId="3F109E83" w14:textId="77777777" w:rsidR="0007002B" w:rsidRPr="00FA23E0" w:rsidRDefault="00D97AF7" w:rsidP="00D1019A">
            <w:pPr>
              <w:cnfStyle w:val="000000000000" w:firstRow="0" w:lastRow="0" w:firstColumn="0" w:lastColumn="0" w:oddVBand="0" w:evenVBand="0" w:oddHBand="0" w:evenHBand="0" w:firstRowFirstColumn="0" w:firstRowLastColumn="0" w:lastRowFirstColumn="0" w:lastRowLastColumn="0"/>
              <w:rPr>
                <w:color w:val="000000" w:themeColor="text1"/>
              </w:rPr>
            </w:pPr>
            <w:r>
              <w:t>See also 7.2</w:t>
            </w:r>
          </w:p>
          <w:p w14:paraId="7B9DEFBD" w14:textId="77777777" w:rsidR="00D1019A" w:rsidRDefault="00D1019A" w:rsidP="00D1019A">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bl>
    <w:p w14:paraId="11D3C370" w14:textId="77777777" w:rsidR="00732CCD" w:rsidRPr="007D5857" w:rsidRDefault="00D97AF7" w:rsidP="007D5857">
      <w:pPr>
        <w:pStyle w:val="SectionHead"/>
      </w:pPr>
      <w:bookmarkStart w:id="16" w:name="_Toc170136350"/>
      <w:r w:rsidRPr="007D5857">
        <w:lastRenderedPageBreak/>
        <w:t>Digital Media (online advertising and adtech)</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0F492D" w14:paraId="5B2DBC04"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3FD496D" w14:textId="77777777" w:rsidR="003369C4" w:rsidRPr="00686D2A" w:rsidRDefault="00D97AF7" w:rsidP="00F92CC7">
            <w:pPr>
              <w:pStyle w:val="Tableheadings"/>
            </w:pPr>
            <w:r w:rsidRPr="00686D2A">
              <w:rPr>
                <w:b/>
                <w:bCs/>
              </w:rPr>
              <w:t>Item</w:t>
            </w:r>
          </w:p>
        </w:tc>
        <w:tc>
          <w:tcPr>
            <w:tcW w:w="2126" w:type="dxa"/>
            <w:tcBorders>
              <w:bottom w:val="none" w:sz="0" w:space="0" w:color="auto"/>
            </w:tcBorders>
          </w:tcPr>
          <w:p w14:paraId="26F694BE" w14:textId="77777777" w:rsidR="003369C4"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7" w:type="dxa"/>
            <w:tcBorders>
              <w:bottom w:val="none" w:sz="0" w:space="0" w:color="auto"/>
            </w:tcBorders>
          </w:tcPr>
          <w:p w14:paraId="5CB51510" w14:textId="77777777" w:rsidR="003369C4"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29F5F110" w14:textId="77777777" w:rsidR="003369C4"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424EE4">
              <w:rPr>
                <w:b/>
                <w:bCs/>
              </w:rPr>
              <w:t>Description</w:t>
            </w:r>
          </w:p>
        </w:tc>
      </w:tr>
      <w:tr w:rsidR="000F492D" w14:paraId="6A732D49"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92D10E" w14:textId="77777777" w:rsidR="005F0C6C" w:rsidRPr="00203503" w:rsidRDefault="00D97AF7" w:rsidP="005F0C6C">
            <w:pPr>
              <w:spacing w:line="276" w:lineRule="auto"/>
              <w:rPr>
                <w:rFonts w:cs="Arial"/>
                <w:color w:val="747474" w:themeColor="background2" w:themeShade="80"/>
              </w:rPr>
            </w:pPr>
            <w:r>
              <w:rPr>
                <w:rFonts w:cs="Arial"/>
                <w:color w:val="747474" w:themeColor="background2" w:themeShade="80"/>
              </w:rPr>
              <w:t>10.1</w:t>
            </w:r>
          </w:p>
        </w:tc>
        <w:tc>
          <w:tcPr>
            <w:tcW w:w="2126" w:type="dxa"/>
            <w:tcBorders>
              <w:top w:val="none" w:sz="0" w:space="0" w:color="auto"/>
              <w:bottom w:val="none" w:sz="0" w:space="0" w:color="auto"/>
            </w:tcBorders>
          </w:tcPr>
          <w:p w14:paraId="0F6AB345" w14:textId="77777777" w:rsidR="005F0C6C" w:rsidRPr="000004F6" w:rsidRDefault="00D97AF7" w:rsidP="005F0C6C">
            <w:pPr>
              <w:pStyle w:val="Subjectcolumntext"/>
              <w:cnfStyle w:val="000000100000" w:firstRow="0" w:lastRow="0" w:firstColumn="0" w:lastColumn="0" w:oddVBand="0" w:evenVBand="0" w:oddHBand="1" w:evenHBand="0" w:firstRowFirstColumn="0" w:firstRowLastColumn="0" w:lastRowFirstColumn="0" w:lastRowLastColumn="0"/>
            </w:pPr>
            <w:r w:rsidRPr="00AB421A">
              <w:t xml:space="preserve">Rules/governance arrangements across sector </w:t>
            </w:r>
            <w:r w:rsidRPr="009A1DD3">
              <w:rPr>
                <w:b w:val="0"/>
                <w:bCs w:val="0"/>
              </w:rPr>
              <w:t>(platforms, apps; internet; mobile)</w:t>
            </w:r>
          </w:p>
        </w:tc>
        <w:tc>
          <w:tcPr>
            <w:tcW w:w="2127" w:type="dxa"/>
            <w:tcBorders>
              <w:top w:val="none" w:sz="0" w:space="0" w:color="auto"/>
              <w:bottom w:val="none" w:sz="0" w:space="0" w:color="auto"/>
            </w:tcBorders>
          </w:tcPr>
          <w:p w14:paraId="0B6C25DA" w14:textId="77777777" w:rsidR="005F0C6C" w:rsidRPr="00745C48" w:rsidRDefault="005F0C6C" w:rsidP="005F0C6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EF4D01F" w14:textId="77777777" w:rsidR="005F0C6C" w:rsidRPr="005F0C6C" w:rsidRDefault="00D97AF7" w:rsidP="005F0C6C">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5F0C6C">
              <w:rPr>
                <w:rStyle w:val="normaltextrun"/>
                <w:rFonts w:eastAsia="Calibri" w:cs="Arial"/>
                <w:color w:val="000000" w:themeColor="text1"/>
              </w:rPr>
              <w:t>In the European Union, the Unfair Commercial Practices Directive (</w:t>
            </w:r>
            <w:hyperlink r:id="rId178" w:history="1">
              <w:r w:rsidRPr="005F0C6C">
                <w:rPr>
                  <w:rStyle w:val="Hyperlink"/>
                  <w:rFonts w:cs="Arial"/>
                  <w:color w:val="0563C1"/>
                </w:rPr>
                <w:t>Directive 2005/29/EC</w:t>
              </w:r>
            </w:hyperlink>
            <w:r w:rsidRPr="005F0C6C">
              <w:rPr>
                <w:rStyle w:val="normaltextrun"/>
                <w:rFonts w:eastAsia="Calibri" w:cs="Arial"/>
                <w:color w:val="000000" w:themeColor="text1"/>
              </w:rPr>
              <w:t>) and the Misleading and Comparative Advertising Directive (</w:t>
            </w:r>
            <w:hyperlink r:id="rId179" w:history="1">
              <w:r w:rsidRPr="005F0C6C">
                <w:rPr>
                  <w:rStyle w:val="Hyperlink"/>
                  <w:rFonts w:cs="Arial"/>
                </w:rPr>
                <w:t>Directive 2006/114/EC</w:t>
              </w:r>
            </w:hyperlink>
            <w:r w:rsidRPr="005F0C6C">
              <w:rPr>
                <w:rStyle w:val="normaltextrun"/>
                <w:rFonts w:eastAsia="Calibri" w:cs="Arial"/>
                <w:color w:val="000000" w:themeColor="text1"/>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5F0C6C">
              <w:rPr>
                <w:rStyle w:val="normaltextrun"/>
                <w:rFonts w:eastAsia="Calibri" w:cs="Arial"/>
                <w:b/>
                <w:bCs/>
                <w:color w:val="000000" w:themeColor="text1"/>
              </w:rPr>
              <w:t>6.1</w:t>
            </w:r>
            <w:r w:rsidRPr="005F0C6C">
              <w:rPr>
                <w:rStyle w:val="normaltextrun"/>
                <w:rFonts w:eastAsia="Calibri" w:cs="Arial"/>
                <w:color w:val="000000" w:themeColor="text1"/>
              </w:rPr>
              <w:t>). T</w:t>
            </w:r>
            <w:r w:rsidRPr="005F0C6C">
              <w:rPr>
                <w:rFonts w:eastAsia="Calibri" w:cs="Arial"/>
                <w:color w:val="000000" w:themeColor="text1"/>
              </w:rPr>
              <w:t>he Unfair Commercial Practices Directive (</w:t>
            </w:r>
            <w:hyperlink r:id="rId180" w:history="1">
              <w:r w:rsidRPr="005F0C6C">
                <w:rPr>
                  <w:rStyle w:val="Hyperlink"/>
                  <w:rFonts w:cs="Arial"/>
                  <w:color w:val="0563C1"/>
                </w:rPr>
                <w:t>Directive 2005/29/EC</w:t>
              </w:r>
            </w:hyperlink>
            <w:r w:rsidRPr="005F0C6C">
              <w:rPr>
                <w:rStyle w:val="normaltextrun"/>
                <w:rFonts w:eastAsia="Calibri" w:cs="Arial"/>
                <w:color w:val="000000" w:themeColor="text1"/>
              </w:rPr>
              <w:t xml:space="preserve">) also includes commercial practices prohibited in all circumstances (‘blacklist’). The Amending </w:t>
            </w:r>
            <w:hyperlink r:id="rId181" w:history="1">
              <w:r w:rsidRPr="005F0C6C">
                <w:rPr>
                  <w:rStyle w:val="Hyperlink"/>
                  <w:rFonts w:cs="Arial"/>
                </w:rPr>
                <w:t>Directive (EU) 2019/2161</w:t>
              </w:r>
            </w:hyperlink>
            <w:r w:rsidRPr="005F0C6C">
              <w:rPr>
                <w:rStyle w:val="normaltextrun"/>
                <w:rFonts w:eastAsia="Calibri" w:cs="Arial"/>
                <w:color w:val="000000" w:themeColor="text1"/>
              </w:rPr>
              <w:t xml:space="preserve"> has added several additional prohibited practices, with </w:t>
            </w:r>
            <w:r w:rsidRPr="005F0C6C">
              <w:rPr>
                <w:rFonts w:eastAsia="Calibri" w:cs="Arial"/>
                <w:color w:val="000000" w:themeColor="text1"/>
              </w:rPr>
              <w:t xml:space="preserve">hidden advertising in search results listed amongst them (Annex I to Directive 2005/29/EC contains a list of 35 commercial practices that are considered unfair in all circumstances). </w:t>
            </w:r>
          </w:p>
          <w:p w14:paraId="20E10A62" w14:textId="77777777" w:rsidR="005F0C6C" w:rsidRPr="005F0C6C" w:rsidRDefault="005F0C6C" w:rsidP="005F0C6C">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p>
          <w:p w14:paraId="74581243" w14:textId="677799A6" w:rsidR="0007002B" w:rsidRDefault="00D97AF7" w:rsidP="005F0C6C">
            <w:pPr>
              <w:cnfStyle w:val="000000100000" w:firstRow="0" w:lastRow="0" w:firstColumn="0" w:lastColumn="0" w:oddVBand="0" w:evenVBand="0" w:oddHBand="1" w:evenHBand="0" w:firstRowFirstColumn="0" w:firstRowLastColumn="0" w:lastRowFirstColumn="0" w:lastRowLastColumn="0"/>
              <w:rPr>
                <w:rFonts w:eastAsiaTheme="minorEastAsia" w:cs="Arial"/>
              </w:rPr>
            </w:pPr>
            <w:r w:rsidRPr="005F0C6C">
              <w:rPr>
                <w:rFonts w:eastAsia="Calibri" w:cs="Arial"/>
                <w:color w:val="000000" w:themeColor="text1"/>
              </w:rPr>
              <w:t>The Digital Services Act 2022</w:t>
            </w:r>
            <w:r w:rsidRPr="005F0C6C">
              <w:rPr>
                <w:rFonts w:eastAsia="Calibri" w:cs="Arial"/>
                <w:b/>
                <w:bCs/>
                <w:color w:val="000000" w:themeColor="text1"/>
              </w:rPr>
              <w:t xml:space="preserve"> </w:t>
            </w:r>
            <w:r w:rsidRPr="005F0C6C">
              <w:rPr>
                <w:rFonts w:eastAsia="Calibri" w:cs="Arial"/>
                <w:color w:val="000000" w:themeColor="text1"/>
              </w:rPr>
              <w:t xml:space="preserve">(the DSA, </w:t>
            </w:r>
            <w:hyperlink r:id="rId182" w:history="1">
              <w:r w:rsidRPr="005F0C6C">
                <w:rPr>
                  <w:rStyle w:val="Hyperlink"/>
                  <w:rFonts w:cs="Arial"/>
                  <w:color w:val="0563C1"/>
                </w:rPr>
                <w:t>EU Regulation 2022/2065</w:t>
              </w:r>
            </w:hyperlink>
            <w:r w:rsidRPr="005F0C6C">
              <w:rPr>
                <w:rFonts w:eastAsia="Calibri" w:cs="Arial"/>
                <w:color w:val="000000" w:themeColor="text1"/>
              </w:rPr>
              <w:t>) serves as the framework for the sector-specific legislation and primarily focuses on digital services, such as online platforms, social media networks, and other intermediary services</w:t>
            </w:r>
            <w:r w:rsidR="002C631B">
              <w:rPr>
                <w:rFonts w:eastAsia="Calibri" w:cs="Arial"/>
                <w:color w:val="000000" w:themeColor="text1"/>
              </w:rPr>
              <w:t xml:space="preserve">. It </w:t>
            </w:r>
            <w:r w:rsidRPr="005F0C6C">
              <w:rPr>
                <w:rFonts w:eastAsia="Calibri" w:cs="Arial"/>
                <w:color w:val="000000" w:themeColor="text1"/>
              </w:rPr>
              <w:t>address</w:t>
            </w:r>
            <w:r w:rsidR="002C631B">
              <w:rPr>
                <w:rFonts w:eastAsia="Calibri" w:cs="Arial"/>
                <w:color w:val="000000" w:themeColor="text1"/>
              </w:rPr>
              <w:t>es</w:t>
            </w:r>
            <w:r w:rsidRPr="005F0C6C">
              <w:rPr>
                <w:rFonts w:eastAsia="Calibri" w:cs="Arial"/>
                <w:color w:val="000000" w:themeColor="text1"/>
              </w:rPr>
              <w:t xml:space="preserve">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5F0C6C">
              <w:rPr>
                <w:rFonts w:eastAsiaTheme="minorEastAsia" w:cs="Arial"/>
              </w:rPr>
              <w:t xml:space="preserve"> </w:t>
            </w:r>
          </w:p>
          <w:p w14:paraId="71C18B2C" w14:textId="77777777" w:rsidR="0007002B" w:rsidRDefault="0007002B" w:rsidP="005F0C6C">
            <w:pPr>
              <w:cnfStyle w:val="000000100000" w:firstRow="0" w:lastRow="0" w:firstColumn="0" w:lastColumn="0" w:oddVBand="0" w:evenVBand="0" w:oddHBand="1" w:evenHBand="0" w:firstRowFirstColumn="0" w:firstRowLastColumn="0" w:lastRowFirstColumn="0" w:lastRowLastColumn="0"/>
              <w:rPr>
                <w:rFonts w:eastAsiaTheme="minorEastAsia" w:cs="Arial"/>
              </w:rPr>
            </w:pPr>
          </w:p>
          <w:p w14:paraId="29051A7C" w14:textId="724E72F5" w:rsidR="005F0C6C" w:rsidRPr="005F0C6C" w:rsidRDefault="00D97AF7" w:rsidP="005F0C6C">
            <w:pPr>
              <w:cnfStyle w:val="000000100000" w:firstRow="0" w:lastRow="0" w:firstColumn="0" w:lastColumn="0" w:oddVBand="0" w:evenVBand="0" w:oddHBand="1" w:evenHBand="0" w:firstRowFirstColumn="0" w:firstRowLastColumn="0" w:lastRowFirstColumn="0" w:lastRowLastColumn="0"/>
              <w:rPr>
                <w:rStyle w:val="normaltextrun"/>
                <w:rFonts w:cs="Arial"/>
              </w:rPr>
            </w:pPr>
            <w:r w:rsidRPr="005F0C6C">
              <w:rPr>
                <w:rFonts w:eastAsiaTheme="minorEastAsia" w:cs="Arial"/>
              </w:rPr>
              <w:t>The EU Digital Services Act (</w:t>
            </w:r>
            <w:hyperlink r:id="rId183" w:history="1">
              <w:r w:rsidRPr="005F0C6C">
                <w:rPr>
                  <w:rStyle w:val="Hyperlink"/>
                  <w:rFonts w:cs="Arial"/>
                </w:rPr>
                <w:t>Digital Services Act, 2022</w:t>
              </w:r>
            </w:hyperlink>
            <w:r w:rsidRPr="005F0C6C">
              <w:rPr>
                <w:rFonts w:eastAsiaTheme="minorEastAsia" w:cs="Arial"/>
              </w:rPr>
              <w:t>)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w:t>
            </w:r>
            <w:r w:rsidR="002C631B">
              <w:rPr>
                <w:rFonts w:eastAsiaTheme="minorEastAsia" w:cs="Arial"/>
              </w:rPr>
              <w:t>,</w:t>
            </w:r>
            <w:r w:rsidRPr="005F0C6C">
              <w:rPr>
                <w:rFonts w:eastAsiaTheme="minorEastAsia" w:cs="Arial"/>
              </w:rPr>
              <w:t xml:space="preserve"> who filed a lawsuit with the Court of the European Union in a case that has not yet been litigated by spring 2024 (Krempl, 2024; von Rimscha </w:t>
            </w:r>
            <w:r w:rsidRPr="005F0C6C">
              <w:rPr>
                <w:rFonts w:eastAsiaTheme="minorEastAsia" w:cs="Arial"/>
              </w:rPr>
              <w:lastRenderedPageBreak/>
              <w:t>2024: 8). T</w:t>
            </w:r>
            <w:r w:rsidRPr="005F0C6C">
              <w:rPr>
                <w:rFonts w:eastAsia="Calibri" w:cs="Arial"/>
                <w:color w:val="000000" w:themeColor="text1"/>
              </w:rPr>
              <w:t xml:space="preserve">he Digital Services Act </w:t>
            </w:r>
            <w:r w:rsidRPr="005F0C6C">
              <w:rPr>
                <w:rStyle w:val="normaltextrun"/>
                <w:rFonts w:eastAsiaTheme="minorEastAsia" w:cs="Arial"/>
              </w:rPr>
              <w:t xml:space="preserve">(the DSA, </w:t>
            </w:r>
            <w:hyperlink r:id="rId184" w:history="1">
              <w:r w:rsidRPr="005F0C6C">
                <w:rPr>
                  <w:rStyle w:val="Hyperlink"/>
                  <w:rFonts w:eastAsiaTheme="minorEastAsia" w:cs="Arial"/>
                  <w:color w:val="0563C1"/>
                </w:rPr>
                <w:t>EU Regulation 2022/2065</w:t>
              </w:r>
            </w:hyperlink>
            <w:r w:rsidRPr="005F0C6C">
              <w:rPr>
                <w:rStyle w:val="normaltextrun"/>
                <w:rFonts w:eastAsiaTheme="minorEastAsia" w:cs="Arial"/>
              </w:rPr>
              <w:t>)</w:t>
            </w:r>
            <w:r w:rsidRPr="005F0C6C">
              <w:rPr>
                <w:rFonts w:eastAsia="Calibri" w:cs="Arial"/>
                <w:color w:val="000000" w:themeColor="text1"/>
              </w:rPr>
              <w:t>, t</w:t>
            </w:r>
            <w:r w:rsidRPr="005F0C6C">
              <w:rPr>
                <w:rStyle w:val="normaltextrun"/>
                <w:rFonts w:eastAsiaTheme="minorEastAsia" w:cs="Arial"/>
              </w:rPr>
              <w:t xml:space="preserve">he General Data Protection Regulation (the GDPR, </w:t>
            </w:r>
            <w:hyperlink r:id="rId185" w:history="1">
              <w:r w:rsidRPr="005F0C6C">
                <w:rPr>
                  <w:rStyle w:val="Hyperlink"/>
                  <w:rFonts w:eastAsiaTheme="minorEastAsia" w:cs="Arial"/>
                  <w:color w:val="0563C1"/>
                </w:rPr>
                <w:t>EU Regulation 2016/679</w:t>
              </w:r>
            </w:hyperlink>
            <w:r w:rsidRPr="005F0C6C">
              <w:rPr>
                <w:rStyle w:val="normaltextrun"/>
                <w:rFonts w:eastAsiaTheme="minorEastAsia" w:cs="Arial"/>
              </w:rPr>
              <w:t xml:space="preserve">), the </w:t>
            </w:r>
            <w:r w:rsidRPr="005F0C6C">
              <w:rPr>
                <w:rStyle w:val="normaltextrun"/>
                <w:rFonts w:eastAsiaTheme="minorEastAsia" w:cs="Arial"/>
                <w:color w:val="000000" w:themeColor="text1"/>
              </w:rPr>
              <w:t>Data Governance Act (</w:t>
            </w:r>
            <w:hyperlink r:id="rId186" w:history="1">
              <w:r w:rsidRPr="005F0C6C">
                <w:rPr>
                  <w:rStyle w:val="Hyperlink"/>
                  <w:rFonts w:eastAsiaTheme="minorEastAsia" w:cs="Arial"/>
                </w:rPr>
                <w:t>2022/868</w:t>
              </w:r>
            </w:hyperlink>
            <w:r w:rsidRPr="005F0C6C">
              <w:rPr>
                <w:rStyle w:val="normaltextrun"/>
                <w:rFonts w:eastAsiaTheme="minorEastAsia" w:cs="Arial"/>
                <w:color w:val="000000" w:themeColor="text1"/>
              </w:rPr>
              <w:t xml:space="preserve">), </w:t>
            </w:r>
            <w:r w:rsidRPr="005F0C6C">
              <w:rPr>
                <w:rStyle w:val="normaltextrun"/>
                <w:rFonts w:eastAsiaTheme="minorEastAsia" w:cs="Arial"/>
              </w:rPr>
              <w:t>are directly enforceable, and along with The ePrivacy Directive (</w:t>
            </w:r>
            <w:hyperlink r:id="rId187" w:history="1">
              <w:r w:rsidRPr="005F0C6C">
                <w:rPr>
                  <w:rStyle w:val="Hyperlink"/>
                  <w:rFonts w:eastAsiaTheme="minorEastAsia" w:cs="Arial"/>
                </w:rPr>
                <w:t>2009/136/EC</w:t>
              </w:r>
            </w:hyperlink>
            <w:r w:rsidRPr="005F0C6C">
              <w:rPr>
                <w:rFonts w:eastAsiaTheme="minorEastAsia" w:cs="Arial"/>
              </w:rPr>
              <w:t xml:space="preserve">) </w:t>
            </w:r>
            <w:r w:rsidRPr="005F0C6C">
              <w:rPr>
                <w:rStyle w:val="normaltextrun"/>
                <w:rFonts w:eastAsiaTheme="minorEastAsia" w:cs="Arial"/>
              </w:rPr>
              <w:t xml:space="preserve">contain rules which set limitations on the AdTech industry by requiring user consent whenever data processing, and mechanisms underlying targeted advertising, including cookies, have the potential to infringe upon consumer privacy. </w:t>
            </w:r>
          </w:p>
          <w:p w14:paraId="43D5D87E" w14:textId="77777777" w:rsidR="005F0C6C" w:rsidRPr="005F0C6C" w:rsidRDefault="005F0C6C" w:rsidP="005F0C6C">
            <w:pPr>
              <w:cnfStyle w:val="000000100000" w:firstRow="0" w:lastRow="0" w:firstColumn="0" w:lastColumn="0" w:oddVBand="0" w:evenVBand="0" w:oddHBand="1" w:evenHBand="0" w:firstRowFirstColumn="0" w:firstRowLastColumn="0" w:lastRowFirstColumn="0" w:lastRowLastColumn="0"/>
              <w:rPr>
                <w:rStyle w:val="normaltextrun"/>
                <w:rFonts w:cs="Arial"/>
              </w:rPr>
            </w:pPr>
          </w:p>
          <w:p w14:paraId="7DDF449E" w14:textId="77777777" w:rsidR="005F0C6C" w:rsidRPr="00D53FC1" w:rsidRDefault="00D97AF7" w:rsidP="005F0C6C">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5F0C6C">
              <w:rPr>
                <w:rFonts w:eastAsia="Calibri" w:cs="Arial"/>
                <w:color w:val="000000" w:themeColor="text1"/>
              </w:rPr>
              <w:t>The eCommerce Directive (</w:t>
            </w:r>
            <w:hyperlink r:id="rId188" w:history="1">
              <w:r w:rsidRPr="005F0C6C">
                <w:rPr>
                  <w:rStyle w:val="Hyperlink"/>
                  <w:rFonts w:cs="Arial"/>
                </w:rPr>
                <w:t>2000/31/EC</w:t>
              </w:r>
            </w:hyperlink>
            <w:r w:rsidRPr="005F0C6C">
              <w:rPr>
                <w:rFonts w:eastAsia="Calibri" w:cs="Arial"/>
                <w:color w:val="000000" w:themeColor="text1"/>
              </w:rPr>
              <w:t>) contains transparency and identification rules regulating online services. Article 6 states</w:t>
            </w:r>
            <w:r w:rsidRPr="00D53FC1">
              <w:rPr>
                <w:rFonts w:eastAsia="Calibri" w:cs="Arial"/>
                <w:color w:val="000000" w:themeColor="text1"/>
              </w:rPr>
              <w:t>: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p>
          <w:p w14:paraId="79586259" w14:textId="77777777" w:rsidR="00486ABB" w:rsidRDefault="00486ABB" w:rsidP="005F0C6C">
            <w:pPr>
              <w:cnfStyle w:val="000000100000" w:firstRow="0" w:lastRow="0" w:firstColumn="0" w:lastColumn="0" w:oddVBand="0" w:evenVBand="0" w:oddHBand="1" w:evenHBand="0" w:firstRowFirstColumn="0" w:firstRowLastColumn="0" w:lastRowFirstColumn="0" w:lastRowLastColumn="0"/>
              <w:rPr>
                <w:rFonts w:cs="Arial"/>
                <w:i/>
                <w:iCs/>
                <w:color w:val="000000" w:themeColor="text1"/>
              </w:rPr>
            </w:pPr>
          </w:p>
          <w:p w14:paraId="4EC1E166" w14:textId="5E276919" w:rsidR="00F464D4" w:rsidRDefault="00D97AF7" w:rsidP="00F464D4">
            <w:pPr>
              <w:spacing w:after="160" w:line="259" w:lineRule="auto"/>
              <w:cnfStyle w:val="000000100000" w:firstRow="0" w:lastRow="0" w:firstColumn="0" w:lastColumn="0" w:oddVBand="0" w:evenVBand="0" w:oddHBand="1" w:evenHBand="0" w:firstRowFirstColumn="0" w:firstRowLastColumn="0" w:lastRowFirstColumn="0" w:lastRowLastColumn="0"/>
              <w:rPr>
                <w:color w:val="000000"/>
              </w:rPr>
            </w:pPr>
            <w:r>
              <w:rPr>
                <w:rFonts w:eastAsia="Arial" w:cs="Arial"/>
                <w:bCs/>
                <w:color w:val="000000"/>
              </w:rPr>
              <w:t>In</w:t>
            </w:r>
            <w:r w:rsidR="007B042B">
              <w:rPr>
                <w:rFonts w:eastAsia="Arial" w:cs="Arial"/>
                <w:bCs/>
                <w:color w:val="000000"/>
              </w:rPr>
              <w:t xml:space="preserve"> Spain, c</w:t>
            </w:r>
            <w:r w:rsidRPr="00F464D4">
              <w:rPr>
                <w:bCs/>
                <w:color w:val="000000"/>
              </w:rPr>
              <w:t>ommercial communications by electronic means</w:t>
            </w:r>
            <w:r>
              <w:rPr>
                <w:color w:val="000000"/>
              </w:rPr>
              <w:t xml:space="preserve"> (</w:t>
            </w:r>
            <w:r w:rsidR="002C631B">
              <w:rPr>
                <w:color w:val="000000"/>
              </w:rPr>
              <w:t>e.g.</w:t>
            </w:r>
            <w:r>
              <w:rPr>
                <w:color w:val="000000"/>
              </w:rPr>
              <w:t xml:space="preserve"> e-mail, messaging services apps such as WhatsApp, etc</w:t>
            </w:r>
            <w:r w:rsidR="002C631B">
              <w:rPr>
                <w:color w:val="000000"/>
              </w:rPr>
              <w:t>.</w:t>
            </w:r>
            <w:r>
              <w:rPr>
                <w:color w:val="000000"/>
              </w:rPr>
              <w:t xml:space="preserve">) are regulated by Law 34/2002 on information and e-commerce society services: </w:t>
            </w:r>
          </w:p>
          <w:p w14:paraId="7EF0E3A3" w14:textId="77777777" w:rsidR="00F464D4" w:rsidRDefault="00D97AF7" w:rsidP="00F464D4">
            <w:pPr>
              <w:numPr>
                <w:ilvl w:val="1"/>
                <w:numId w:val="14"/>
              </w:numPr>
              <w:pBdr>
                <w:top w:val="nil"/>
                <w:left w:val="nil"/>
                <w:bottom w:val="nil"/>
                <w:right w:val="nil"/>
                <w:between w:val="nil"/>
              </w:pBdr>
              <w:spacing w:line="259" w:lineRule="auto"/>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 xml:space="preserve">E-mails and any other kind of electronic message with advertising content or a commercial purpose must avoid being sent to any user who has not expressly agreed to receive such information, unless his/her data was collected due to a previous business relationship. </w:t>
            </w:r>
          </w:p>
          <w:p w14:paraId="7A59DF65" w14:textId="09BE66CB" w:rsidR="00F464D4" w:rsidRDefault="00D97AF7" w:rsidP="00F464D4">
            <w:pPr>
              <w:numPr>
                <w:ilvl w:val="1"/>
                <w:numId w:val="14"/>
              </w:numPr>
              <w:pBdr>
                <w:top w:val="nil"/>
                <w:left w:val="nil"/>
                <w:bottom w:val="nil"/>
                <w:right w:val="nil"/>
                <w:between w:val="nil"/>
              </w:pBdr>
              <w:spacing w:line="259" w:lineRule="auto"/>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 xml:space="preserve">In any case, companies must provide users an easy and free procedure to get </w:t>
            </w:r>
            <w:r w:rsidR="002C631B">
              <w:rPr>
                <w:rFonts w:eastAsia="Calibri"/>
                <w:color w:val="000000"/>
              </w:rPr>
              <w:t xml:space="preserve">their </w:t>
            </w:r>
            <w:r>
              <w:rPr>
                <w:rFonts w:eastAsia="Calibri"/>
                <w:color w:val="000000"/>
              </w:rPr>
              <w:t xml:space="preserve">data removed at any time. </w:t>
            </w:r>
          </w:p>
          <w:p w14:paraId="64DC1735" w14:textId="77777777" w:rsidR="00486ABB" w:rsidRPr="00D53FC1" w:rsidRDefault="00D97AF7" w:rsidP="00D53FC1">
            <w:pPr>
              <w:numPr>
                <w:ilvl w:val="1"/>
                <w:numId w:val="14"/>
              </w:numPr>
              <w:pBdr>
                <w:top w:val="nil"/>
                <w:left w:val="nil"/>
                <w:bottom w:val="nil"/>
                <w:right w:val="nil"/>
                <w:between w:val="nil"/>
              </w:pBdr>
              <w:spacing w:after="160" w:line="259" w:lineRule="auto"/>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Any commercial communication must comply with the information required by law.</w:t>
            </w:r>
          </w:p>
        </w:tc>
      </w:tr>
      <w:tr w:rsidR="000F492D" w14:paraId="51C8261C"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9D2BF9" w14:textId="77777777" w:rsidR="005F0C6C" w:rsidRPr="00203503" w:rsidRDefault="00D97AF7" w:rsidP="005F0C6C">
            <w:pPr>
              <w:spacing w:line="276" w:lineRule="auto"/>
              <w:rPr>
                <w:rFonts w:cs="Arial"/>
                <w:color w:val="3A3A3A" w:themeColor="background2" w:themeShade="40"/>
              </w:rPr>
            </w:pPr>
            <w:r>
              <w:rPr>
                <w:rFonts w:cs="Arial"/>
                <w:color w:val="747474" w:themeColor="background2" w:themeShade="80"/>
              </w:rPr>
              <w:lastRenderedPageBreak/>
              <w:t>10.2</w:t>
            </w:r>
          </w:p>
        </w:tc>
        <w:tc>
          <w:tcPr>
            <w:tcW w:w="2126" w:type="dxa"/>
          </w:tcPr>
          <w:p w14:paraId="2BACE339" w14:textId="77777777" w:rsidR="005F0C6C" w:rsidRDefault="00D97AF7" w:rsidP="005F0C6C">
            <w:pPr>
              <w:pStyle w:val="Subjectcolumntext"/>
              <w:cnfStyle w:val="000000000000" w:firstRow="0" w:lastRow="0" w:firstColumn="0" w:lastColumn="0" w:oddVBand="0" w:evenVBand="0" w:oddHBand="0" w:evenHBand="0" w:firstRowFirstColumn="0" w:firstRowLastColumn="0" w:lastRowFirstColumn="0" w:lastRowLastColumn="0"/>
            </w:pPr>
            <w:r w:rsidRPr="00275162">
              <w:t xml:space="preserve">How is </w:t>
            </w:r>
            <w:r>
              <w:t xml:space="preserve">branded </w:t>
            </w:r>
            <w:r w:rsidRPr="00275162">
              <w:t>content described and ordered in governance?</w:t>
            </w:r>
          </w:p>
        </w:tc>
        <w:tc>
          <w:tcPr>
            <w:tcW w:w="2127" w:type="dxa"/>
          </w:tcPr>
          <w:p w14:paraId="2295CD89" w14:textId="77777777" w:rsidR="005F0C6C" w:rsidRDefault="005F0C6C" w:rsidP="005F0C6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7FAD3B7" w14:textId="77777777" w:rsidR="005F0C6C" w:rsidRDefault="00D97AF7" w:rsidP="00712096">
            <w:pPr>
              <w:cnfStyle w:val="000000000000" w:firstRow="0" w:lastRow="0" w:firstColumn="0" w:lastColumn="0" w:oddVBand="0" w:evenVBand="0" w:oddHBand="0" w:evenHBand="0" w:firstRowFirstColumn="0" w:firstRowLastColumn="0" w:lastRowFirstColumn="0" w:lastRowLastColumn="0"/>
              <w:rPr>
                <w:rStyle w:val="normaltextrun"/>
                <w:rFonts w:eastAsia="Calibri" w:cs="Arial"/>
                <w:color w:val="000000" w:themeColor="text1"/>
              </w:rPr>
            </w:pPr>
            <w:r w:rsidRPr="00712096">
              <w:rPr>
                <w:rStyle w:val="normaltextrun"/>
                <w:rFonts w:eastAsia="Calibri" w:cs="Arial"/>
                <w:color w:val="000000" w:themeColor="text1"/>
              </w:rPr>
              <w:t>The Unfair Commercial Practices Directive (</w:t>
            </w:r>
            <w:hyperlink r:id="rId189" w:history="1">
              <w:r w:rsidRPr="00712096">
                <w:rPr>
                  <w:rStyle w:val="Hyperlink"/>
                  <w:rFonts w:cs="Arial"/>
                  <w:color w:val="0563C1"/>
                </w:rPr>
                <w:t>Directive 2005/29/EC</w:t>
              </w:r>
            </w:hyperlink>
            <w:r w:rsidRPr="00712096">
              <w:rPr>
                <w:rStyle w:val="normaltextrun"/>
                <w:rFonts w:eastAsia="Calibri" w:cs="Arial"/>
                <w:color w:val="000000" w:themeColor="text1"/>
              </w:rPr>
              <w:t>) classifies undisclosed commercial communication as a misleading omission, which is a prohibited practice.</w:t>
            </w:r>
          </w:p>
          <w:p w14:paraId="1C98F03F" w14:textId="77777777" w:rsidR="0007002B" w:rsidRDefault="0007002B" w:rsidP="00712096">
            <w:pPr>
              <w:cnfStyle w:val="000000000000" w:firstRow="0" w:lastRow="0" w:firstColumn="0" w:lastColumn="0" w:oddVBand="0" w:evenVBand="0" w:oddHBand="0" w:evenHBand="0" w:firstRowFirstColumn="0" w:firstRowLastColumn="0" w:lastRowFirstColumn="0" w:lastRowLastColumn="0"/>
              <w:rPr>
                <w:rStyle w:val="normaltextrun"/>
              </w:rPr>
            </w:pPr>
          </w:p>
          <w:p w14:paraId="32454F6B" w14:textId="77777777" w:rsidR="0007002B" w:rsidRDefault="00D97AF7" w:rsidP="00712096">
            <w:pPr>
              <w:cnfStyle w:val="000000000000" w:firstRow="0" w:lastRow="0" w:firstColumn="0" w:lastColumn="0" w:oddVBand="0" w:evenVBand="0" w:oddHBand="0" w:evenHBand="0" w:firstRowFirstColumn="0" w:firstRowLastColumn="0" w:lastRowFirstColumn="0" w:lastRowLastColumn="0"/>
              <w:rPr>
                <w:rStyle w:val="normaltextrun"/>
                <w:rFonts w:eastAsia="Calibri" w:cs="Arial"/>
                <w:color w:val="000000" w:themeColor="text1"/>
              </w:rPr>
            </w:pPr>
            <w:r>
              <w:t>See also 7.2</w:t>
            </w:r>
          </w:p>
          <w:p w14:paraId="28048DFF" w14:textId="77777777" w:rsidR="00A337C8" w:rsidRPr="00712096" w:rsidRDefault="00A337C8" w:rsidP="00712096">
            <w:pPr>
              <w:cnfStyle w:val="000000000000" w:firstRow="0" w:lastRow="0" w:firstColumn="0" w:lastColumn="0" w:oddVBand="0" w:evenVBand="0" w:oddHBand="0" w:evenHBand="0" w:firstRowFirstColumn="0" w:firstRowLastColumn="0" w:lastRowFirstColumn="0" w:lastRowLastColumn="0"/>
              <w:rPr>
                <w:rFonts w:cs="Arial"/>
              </w:rPr>
            </w:pPr>
          </w:p>
        </w:tc>
      </w:tr>
    </w:tbl>
    <w:p w14:paraId="066ADC0A" w14:textId="77777777" w:rsidR="009F40CC" w:rsidRPr="009F40CC" w:rsidRDefault="00D97AF7" w:rsidP="009F40CC">
      <w:pPr>
        <w:pStyle w:val="SectionHead"/>
        <w:rPr>
          <w:iCs w:val="0"/>
        </w:rPr>
      </w:pPr>
      <w:bookmarkStart w:id="17" w:name="_Toc170136351"/>
      <w:r w:rsidRPr="009F40CC">
        <w:rPr>
          <w:iCs w:val="0"/>
        </w:rPr>
        <w:lastRenderedPageBreak/>
        <w:t>Social Media Marketing</w:t>
      </w:r>
      <w:bookmarkEnd w:id="17"/>
      <w:r w:rsidRPr="009F40CC">
        <w:rPr>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0F492D" w14:paraId="5A350C41"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C881345" w14:textId="77777777" w:rsidR="00331514" w:rsidRPr="00686D2A" w:rsidRDefault="00D97AF7" w:rsidP="00F92CC7">
            <w:pPr>
              <w:pStyle w:val="Tableheadings"/>
            </w:pPr>
            <w:r w:rsidRPr="00686D2A">
              <w:rPr>
                <w:b/>
                <w:bCs/>
              </w:rPr>
              <w:t>Item</w:t>
            </w:r>
          </w:p>
        </w:tc>
        <w:tc>
          <w:tcPr>
            <w:tcW w:w="2126" w:type="dxa"/>
            <w:tcBorders>
              <w:bottom w:val="none" w:sz="0" w:space="0" w:color="auto"/>
            </w:tcBorders>
          </w:tcPr>
          <w:p w14:paraId="1B581B48" w14:textId="77777777" w:rsidR="00331514"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7" w:type="dxa"/>
            <w:tcBorders>
              <w:bottom w:val="none" w:sz="0" w:space="0" w:color="auto"/>
            </w:tcBorders>
          </w:tcPr>
          <w:p w14:paraId="1E1B4B23" w14:textId="77777777" w:rsidR="00331514"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181E371D" w14:textId="77777777" w:rsidR="00331514"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424EE4">
              <w:rPr>
                <w:b/>
                <w:bCs/>
              </w:rPr>
              <w:t>Description</w:t>
            </w:r>
          </w:p>
        </w:tc>
      </w:tr>
      <w:tr w:rsidR="000F492D" w14:paraId="203CF645"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02406B6" w14:textId="77777777" w:rsidR="0074552A" w:rsidRPr="00203503" w:rsidRDefault="00D97AF7" w:rsidP="0074552A">
            <w:pPr>
              <w:spacing w:line="276" w:lineRule="auto"/>
              <w:rPr>
                <w:rFonts w:cs="Arial"/>
                <w:color w:val="747474" w:themeColor="background2" w:themeShade="80"/>
              </w:rPr>
            </w:pPr>
            <w:r>
              <w:rPr>
                <w:rFonts w:cs="Arial"/>
                <w:color w:val="747474" w:themeColor="background2" w:themeShade="80"/>
              </w:rPr>
              <w:t>11.1</w:t>
            </w:r>
          </w:p>
        </w:tc>
        <w:tc>
          <w:tcPr>
            <w:tcW w:w="2126" w:type="dxa"/>
            <w:tcBorders>
              <w:top w:val="none" w:sz="0" w:space="0" w:color="auto"/>
              <w:bottom w:val="none" w:sz="0" w:space="0" w:color="auto"/>
            </w:tcBorders>
          </w:tcPr>
          <w:p w14:paraId="41223993" w14:textId="77777777" w:rsidR="0074552A" w:rsidRPr="000004F6" w:rsidRDefault="00D97AF7" w:rsidP="0074552A">
            <w:pPr>
              <w:pStyle w:val="Subjectcolumntext"/>
              <w:cnfStyle w:val="000000100000" w:firstRow="0" w:lastRow="0" w:firstColumn="0" w:lastColumn="0" w:oddVBand="0" w:evenVBand="0" w:oddHBand="1" w:evenHBand="0" w:firstRowFirstColumn="0" w:firstRowLastColumn="0" w:lastRowFirstColumn="0" w:lastRowLastColumn="0"/>
            </w:pPr>
            <w:r w:rsidRPr="00A06B08">
              <w:t xml:space="preserve">Rules/governance arrangements </w:t>
            </w:r>
            <w:r>
              <w:t>creator/user content and platform use</w:t>
            </w:r>
          </w:p>
        </w:tc>
        <w:tc>
          <w:tcPr>
            <w:tcW w:w="2127" w:type="dxa"/>
            <w:tcBorders>
              <w:top w:val="none" w:sz="0" w:space="0" w:color="auto"/>
              <w:bottom w:val="none" w:sz="0" w:space="0" w:color="auto"/>
            </w:tcBorders>
          </w:tcPr>
          <w:p w14:paraId="5907A4DA" w14:textId="77777777" w:rsidR="0074552A" w:rsidRPr="00745C48" w:rsidRDefault="0074552A" w:rsidP="0074552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54C20FB" w14:textId="687A22BB" w:rsidR="0074552A" w:rsidRDefault="00D97AF7" w:rsidP="0074552A">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74552A">
              <w:rPr>
                <w:rFonts w:cs="Arial"/>
              </w:rPr>
              <w:t>Influencer marketing is of special interest to the European Commission following a study which releveled that the number of influencers who disclose commercial content as advertising is very low, at 20%, despite 97% engaging in promotional activities (</w:t>
            </w:r>
            <w:hyperlink r:id="rId190" w:history="1">
              <w:r w:rsidRPr="0074552A">
                <w:rPr>
                  <w:rStyle w:val="Hyperlink"/>
                  <w:rFonts w:cs="Arial"/>
                </w:rPr>
                <w:t>European Commission 2024</w:t>
              </w:r>
            </w:hyperlink>
            <w:r w:rsidRPr="0074552A">
              <w:rPr>
                <w:rFonts w:cs="Arial"/>
              </w:rPr>
              <w:t xml:space="preserve">). </w:t>
            </w:r>
            <w:r w:rsidRPr="0074552A">
              <w:rPr>
                <w:rFonts w:eastAsia="Calibri" w:cs="Arial"/>
                <w:color w:val="000000" w:themeColor="text1"/>
              </w:rPr>
              <w:t>The Digital Services Act 2022</w:t>
            </w:r>
            <w:r w:rsidRPr="0074552A">
              <w:rPr>
                <w:rFonts w:eastAsia="Calibri" w:cs="Arial"/>
                <w:b/>
                <w:bCs/>
                <w:color w:val="000000" w:themeColor="text1"/>
              </w:rPr>
              <w:t xml:space="preserve"> </w:t>
            </w:r>
            <w:r w:rsidRPr="0074552A">
              <w:rPr>
                <w:rFonts w:eastAsia="Calibri" w:cs="Arial"/>
                <w:color w:val="000000" w:themeColor="text1"/>
              </w:rPr>
              <w:t xml:space="preserve">(the DSA, </w:t>
            </w:r>
            <w:hyperlink r:id="rId191" w:history="1">
              <w:r w:rsidRPr="0074552A">
                <w:rPr>
                  <w:rStyle w:val="Hyperlink"/>
                  <w:rFonts w:cs="Arial"/>
                  <w:color w:val="0563C1"/>
                </w:rPr>
                <w:t>EU Regulation 2022/2065</w:t>
              </w:r>
            </w:hyperlink>
            <w:r w:rsidRPr="0074552A">
              <w:rPr>
                <w:rFonts w:eastAsia="Calibri" w:cs="Arial"/>
                <w:color w:val="000000" w:themeColor="text1"/>
              </w:rPr>
              <w:t>),</w:t>
            </w:r>
            <w:r w:rsidRPr="0074552A">
              <w:rPr>
                <w:rFonts w:cs="Arial"/>
              </w:rPr>
              <w:t xml:space="preserve"> in force since 17 February 2024, obliges influencers to disclose whether their content contains commercial messaging. Influencers who qualify as traders must meet the requirements of t</w:t>
            </w:r>
            <w:r w:rsidRPr="0074552A">
              <w:rPr>
                <w:rStyle w:val="normaltextrun"/>
                <w:rFonts w:eastAsia="Calibri" w:cs="Arial"/>
                <w:color w:val="000000" w:themeColor="text1"/>
              </w:rPr>
              <w:t>he Unfair Commercial Practices Directive (</w:t>
            </w:r>
            <w:hyperlink r:id="rId192" w:history="1">
              <w:r w:rsidRPr="0074552A">
                <w:rPr>
                  <w:rStyle w:val="Hyperlink"/>
                  <w:rFonts w:cs="Arial"/>
                  <w:color w:val="0563C1"/>
                </w:rPr>
                <w:t>Directive 2005/29/EC</w:t>
              </w:r>
            </w:hyperlink>
            <w:r w:rsidRPr="0074552A">
              <w:rPr>
                <w:rStyle w:val="normaltextrun"/>
                <w:rFonts w:eastAsia="Calibri" w:cs="Arial"/>
                <w:color w:val="000000" w:themeColor="text1"/>
              </w:rPr>
              <w:t>)</w:t>
            </w:r>
            <w:r w:rsidR="002C631B">
              <w:rPr>
                <w:rStyle w:val="normaltextrun"/>
                <w:rFonts w:eastAsia="Calibri" w:cs="Arial"/>
                <w:color w:val="000000" w:themeColor="text1"/>
              </w:rPr>
              <w:t>,</w:t>
            </w:r>
            <w:r w:rsidRPr="0074552A">
              <w:rPr>
                <w:rStyle w:val="normaltextrun"/>
                <w:rFonts w:eastAsia="Calibri" w:cs="Arial"/>
                <w:color w:val="000000" w:themeColor="text1"/>
              </w:rPr>
              <w:t xml:space="preserve"> including identifying themselves and their location (for more information, please see </w:t>
            </w:r>
            <w:r w:rsidRPr="0074552A">
              <w:rPr>
                <w:rStyle w:val="normaltextrun"/>
                <w:rFonts w:eastAsia="Calibri" w:cs="Arial"/>
                <w:b/>
                <w:bCs/>
                <w:color w:val="000000" w:themeColor="text1"/>
              </w:rPr>
              <w:t>6.2</w:t>
            </w:r>
            <w:r w:rsidRPr="0074552A">
              <w:rPr>
                <w:rStyle w:val="normaltextrun"/>
                <w:rFonts w:eastAsia="Calibri" w:cs="Arial"/>
                <w:color w:val="000000" w:themeColor="text1"/>
              </w:rPr>
              <w:t xml:space="preserve">). </w:t>
            </w:r>
            <w:r w:rsidRPr="0074552A">
              <w:rPr>
                <w:rFonts w:cs="Arial"/>
              </w:rPr>
              <w:t>The Audiovisual Media Services Directive</w:t>
            </w:r>
            <w:r w:rsidRPr="0074552A">
              <w:rPr>
                <w:rFonts w:eastAsia="Calibri" w:cs="Arial"/>
                <w:color w:val="000000" w:themeColor="text1"/>
              </w:rPr>
              <w:t xml:space="preserve"> (</w:t>
            </w:r>
            <w:hyperlink r:id="rId193" w:history="1">
              <w:r w:rsidRPr="0074552A">
                <w:rPr>
                  <w:rStyle w:val="Hyperlink"/>
                  <w:rFonts w:cs="Arial"/>
                </w:rPr>
                <w:t>Directive 2018/1808</w:t>
              </w:r>
            </w:hyperlink>
            <w:r w:rsidRPr="0074552A">
              <w:rPr>
                <w:rFonts w:eastAsia="Calibri" w:cs="Arial"/>
                <w:color w:val="000000" w:themeColor="text1"/>
              </w:rPr>
              <w:t xml:space="preserve">) covers many forms of audiovisual communication, including user-generated content, which means that the AMSD transparency rules and rules affecting sponsorship and product placement also apply to influencers (for more information, please see </w:t>
            </w:r>
            <w:r w:rsidRPr="0074552A">
              <w:rPr>
                <w:rFonts w:eastAsia="Calibri" w:cs="Arial"/>
                <w:b/>
                <w:bCs/>
                <w:color w:val="000000" w:themeColor="text1"/>
              </w:rPr>
              <w:t>8.1</w:t>
            </w:r>
            <w:r w:rsidRPr="0074552A">
              <w:rPr>
                <w:rFonts w:eastAsia="Calibri" w:cs="Arial"/>
                <w:color w:val="000000" w:themeColor="text1"/>
              </w:rPr>
              <w:t>) (</w:t>
            </w:r>
            <w:hyperlink r:id="rId194" w:anchor=":~:text=In%20addition%2C%20influencers%20who%20sell,into%20force%20in%20the%20EU." w:history="1">
              <w:r w:rsidRPr="0074552A">
                <w:rPr>
                  <w:rStyle w:val="Hyperlink"/>
                  <w:rFonts w:cs="Arial"/>
                </w:rPr>
                <w:t>Society for Computers and Law 2024</w:t>
              </w:r>
            </w:hyperlink>
            <w:r w:rsidRPr="0074552A">
              <w:rPr>
                <w:rFonts w:eastAsia="Calibri" w:cs="Arial"/>
                <w:color w:val="000000" w:themeColor="text1"/>
              </w:rPr>
              <w:t>).</w:t>
            </w:r>
          </w:p>
          <w:p w14:paraId="2499F23C" w14:textId="77777777" w:rsidR="002F5AF3" w:rsidRDefault="002F5AF3" w:rsidP="0074552A">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p>
          <w:p w14:paraId="40EEB25A" w14:textId="3093477C" w:rsidR="002F5AF3" w:rsidRPr="0074552A" w:rsidRDefault="00D97AF7" w:rsidP="0074552A">
            <w:pPr>
              <w:cnfStyle w:val="000000100000" w:firstRow="0" w:lastRow="0" w:firstColumn="0" w:lastColumn="0" w:oddVBand="0" w:evenVBand="0" w:oddHBand="1" w:evenHBand="0" w:firstRowFirstColumn="0" w:firstRowLastColumn="0" w:lastRowFirstColumn="0" w:lastRowLastColumn="0"/>
              <w:rPr>
                <w:rFonts w:cs="Arial"/>
              </w:rPr>
            </w:pPr>
            <w:r>
              <w:t>In Spain, the different social networks are under the umbrella of the Spanish General Law 13/2022 of July 7 on Audiovisual Communications (GLAC) (</w:t>
            </w:r>
            <w:hyperlink r:id="rId195" w:history="1">
              <w:r w:rsidRPr="003D0E6F">
                <w:rPr>
                  <w:rStyle w:val="Hyperlink"/>
                </w:rPr>
                <w:t>BOE, 2022a</w:t>
              </w:r>
            </w:hyperlink>
            <w:r>
              <w:t>.)</w:t>
            </w:r>
            <w:r w:rsidR="002C631B">
              <w:t>,</w:t>
            </w:r>
            <w:r>
              <w:t xml:space="preserve"> since they are “video sharing services on an online platform” and their purpose is to make available an ample and diverse supply of videos generated by other people.</w:t>
            </w:r>
          </w:p>
        </w:tc>
      </w:tr>
      <w:tr w:rsidR="000F492D" w14:paraId="314E5614"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DC08B28" w14:textId="77777777" w:rsidR="0074552A" w:rsidRPr="00203503" w:rsidRDefault="00D97AF7" w:rsidP="0074552A">
            <w:pPr>
              <w:spacing w:line="276" w:lineRule="auto"/>
              <w:rPr>
                <w:rFonts w:cs="Arial"/>
                <w:color w:val="3A3A3A" w:themeColor="background2" w:themeShade="40"/>
              </w:rPr>
            </w:pPr>
            <w:r>
              <w:rPr>
                <w:rFonts w:cs="Arial"/>
                <w:color w:val="747474" w:themeColor="background2" w:themeShade="80"/>
              </w:rPr>
              <w:t>11.2</w:t>
            </w:r>
          </w:p>
        </w:tc>
        <w:tc>
          <w:tcPr>
            <w:tcW w:w="2126" w:type="dxa"/>
          </w:tcPr>
          <w:p w14:paraId="3EA7726B" w14:textId="77777777" w:rsidR="0074552A" w:rsidRDefault="00D97AF7" w:rsidP="0074552A">
            <w:pPr>
              <w:pStyle w:val="Subjectcolumntext"/>
              <w:cnfStyle w:val="000000000000" w:firstRow="0" w:lastRow="0" w:firstColumn="0" w:lastColumn="0" w:oddVBand="0" w:evenVBand="0" w:oddHBand="0" w:evenHBand="0" w:firstRowFirstColumn="0" w:firstRowLastColumn="0" w:lastRowFirstColumn="0" w:lastRowLastColumn="0"/>
            </w:pPr>
            <w:r w:rsidRPr="00275162">
              <w:t xml:space="preserve">How is </w:t>
            </w:r>
            <w:r>
              <w:t xml:space="preserve">branded </w:t>
            </w:r>
            <w:r w:rsidRPr="00275162">
              <w:t>content described and ordered in governance?</w:t>
            </w:r>
          </w:p>
        </w:tc>
        <w:tc>
          <w:tcPr>
            <w:tcW w:w="2127" w:type="dxa"/>
          </w:tcPr>
          <w:p w14:paraId="38DD5A7F" w14:textId="77777777" w:rsidR="0074552A" w:rsidRDefault="0074552A" w:rsidP="0074552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EE59BFF" w14:textId="77777777" w:rsidR="0065251C" w:rsidRDefault="00D97AF7" w:rsidP="0074552A">
            <w:pPr>
              <w:spacing w:after="160"/>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rPr>
            </w:pPr>
            <w:r w:rsidRPr="0074552A">
              <w:rPr>
                <w:rStyle w:val="normaltextrun"/>
                <w:rFonts w:eastAsia="Calibri" w:cs="Arial"/>
                <w:color w:val="000000" w:themeColor="text1"/>
              </w:rPr>
              <w:t>The Unfair Commercial Practices Directive (</w:t>
            </w:r>
            <w:hyperlink r:id="rId196" w:history="1">
              <w:r w:rsidRPr="0074552A">
                <w:rPr>
                  <w:rStyle w:val="Hyperlink"/>
                  <w:rFonts w:cs="Arial"/>
                  <w:color w:val="0563C1"/>
                </w:rPr>
                <w:t>Directive 2005/29/EC</w:t>
              </w:r>
            </w:hyperlink>
            <w:r w:rsidRPr="0074552A">
              <w:rPr>
                <w:rStyle w:val="normaltextrun"/>
                <w:rFonts w:eastAsia="Calibri" w:cs="Arial"/>
                <w:color w:val="000000" w:themeColor="text1"/>
              </w:rPr>
              <w:t xml:space="preserve">) classifies undisclosed commercial communication as a misleading omission, which is a prohibited practice. </w:t>
            </w:r>
            <w:r w:rsidRPr="0074552A">
              <w:rPr>
                <w:rFonts w:cs="Arial"/>
              </w:rPr>
              <w:t>The Audiovisual Media Services Directive</w:t>
            </w:r>
            <w:r w:rsidRPr="0074552A">
              <w:rPr>
                <w:rFonts w:eastAsia="Calibri" w:cs="Arial"/>
                <w:color w:val="000000" w:themeColor="text1"/>
              </w:rPr>
              <w:t xml:space="preserve"> (</w:t>
            </w:r>
            <w:hyperlink r:id="rId197" w:history="1">
              <w:r w:rsidRPr="0074552A">
                <w:rPr>
                  <w:rStyle w:val="Hyperlink"/>
                  <w:rFonts w:cs="Arial"/>
                </w:rPr>
                <w:t>Directive 2018/1808</w:t>
              </w:r>
            </w:hyperlink>
            <w:r w:rsidRPr="0074552A">
              <w:rPr>
                <w:rFonts w:eastAsia="Calibri" w:cs="Arial"/>
                <w:color w:val="000000" w:themeColor="text1"/>
              </w:rPr>
              <w:t xml:space="preserve">) regulates audiovisual commercial communications, sponsorship and product placement. </w:t>
            </w:r>
          </w:p>
          <w:p w14:paraId="699E41A7" w14:textId="77777777" w:rsidR="00437482" w:rsidRDefault="00D97AF7" w:rsidP="00437482">
            <w:pPr>
              <w:cnfStyle w:val="000000000000" w:firstRow="0" w:lastRow="0" w:firstColumn="0" w:lastColumn="0" w:oddVBand="0" w:evenVBand="0" w:oddHBand="0" w:evenHBand="0" w:firstRowFirstColumn="0" w:firstRowLastColumn="0" w:lastRowFirstColumn="0" w:lastRowLastColumn="0"/>
            </w:pPr>
            <w:r>
              <w:t>Although the purpose of the new LGCA is not to regulate social networks, it does establish a series of obligations in Spain that are controlled by the National Markets and Competition Commission</w:t>
            </w:r>
            <w:r w:rsidR="00BF65EE">
              <w:t>, as follows</w:t>
            </w:r>
            <w:r>
              <w:t>:</w:t>
            </w:r>
          </w:p>
          <w:p w14:paraId="77499076" w14:textId="77777777" w:rsidR="00437482" w:rsidRDefault="00D97AF7" w:rsidP="00437482">
            <w:pPr>
              <w:cnfStyle w:val="000000000000" w:firstRow="0" w:lastRow="0" w:firstColumn="0" w:lastColumn="0" w:oddVBand="0" w:evenVBand="0" w:oddHBand="0" w:evenHBand="0" w:firstRowFirstColumn="0" w:firstRowLastColumn="0" w:lastRowFirstColumn="0" w:lastRowLastColumn="0"/>
            </w:pPr>
            <w:r>
              <w:t xml:space="preserve"> </w:t>
            </w:r>
          </w:p>
          <w:p w14:paraId="5C37F52D" w14:textId="1D2A3AF0" w:rsidR="00BF65EE" w:rsidRDefault="00D97AF7" w:rsidP="00BF65EE">
            <w:pPr>
              <w:pStyle w:val="ListParagraph"/>
              <w:numPr>
                <w:ilvl w:val="0"/>
                <w:numId w:val="16"/>
              </w:numPr>
              <w:pBdr>
                <w:top w:val="nil"/>
                <w:left w:val="nil"/>
                <w:bottom w:val="nil"/>
                <w:right w:val="nil"/>
                <w:between w:val="nil"/>
              </w:pBdr>
              <w:ind w:left="360"/>
              <w:cnfStyle w:val="000000000000" w:firstRow="0" w:lastRow="0" w:firstColumn="0" w:lastColumn="0" w:oddVBand="0" w:evenVBand="0" w:oddHBand="0" w:evenHBand="0" w:firstRowFirstColumn="0" w:firstRowLastColumn="0" w:lastRowFirstColumn="0" w:lastRowLastColumn="0"/>
              <w:rPr>
                <w:rFonts w:eastAsia="Calibri"/>
                <w:color w:val="000000"/>
              </w:rPr>
            </w:pPr>
            <w:r w:rsidRPr="00BF65EE">
              <w:rPr>
                <w:rFonts w:eastAsia="Calibri"/>
                <w:color w:val="000000"/>
              </w:rPr>
              <w:t>User protection with a special focus on minors: Article 88 specifies that video sharing service providers on online platforms must implement measures to protect users from audiovisual content (including commercial) that can harm the physical, mental, or moral development of the user</w:t>
            </w:r>
            <w:r w:rsidR="002C631B">
              <w:rPr>
                <w:rFonts w:eastAsia="Calibri"/>
                <w:color w:val="000000"/>
              </w:rPr>
              <w:t>,</w:t>
            </w:r>
            <w:r w:rsidRPr="00BF65EE">
              <w:rPr>
                <w:rFonts w:eastAsia="Calibri"/>
                <w:color w:val="000000"/>
              </w:rPr>
              <w:t xml:space="preserve"> as well as protect him or her from content that encourages any type of violence, hatred and/or discrimination as well as any type of </w:t>
            </w:r>
            <w:r w:rsidRPr="00BF65EE">
              <w:rPr>
                <w:rFonts w:eastAsia="Calibri"/>
                <w:color w:val="000000"/>
              </w:rPr>
              <w:lastRenderedPageBreak/>
              <w:t xml:space="preserve">crime according to and without prejudice to the provisions of the Spanish Penal Code. </w:t>
            </w:r>
            <w:r>
              <w:rPr>
                <w:rFonts w:eastAsia="Calibri"/>
                <w:color w:val="000000"/>
              </w:rPr>
              <w:br/>
            </w:r>
          </w:p>
          <w:p w14:paraId="69C5B85B" w14:textId="77777777" w:rsidR="0065251C" w:rsidRPr="00BF65EE" w:rsidRDefault="00D97AF7" w:rsidP="00BF65EE">
            <w:pPr>
              <w:pStyle w:val="ListParagraph"/>
              <w:numPr>
                <w:ilvl w:val="0"/>
                <w:numId w:val="16"/>
              </w:numPr>
              <w:pBdr>
                <w:top w:val="nil"/>
                <w:left w:val="nil"/>
                <w:bottom w:val="nil"/>
                <w:right w:val="nil"/>
                <w:between w:val="nil"/>
              </w:pBdr>
              <w:ind w:left="360"/>
              <w:cnfStyle w:val="000000000000" w:firstRow="0" w:lastRow="0" w:firstColumn="0" w:lastColumn="0" w:oddVBand="0" w:evenVBand="0" w:oddHBand="0" w:evenHBand="0" w:firstRowFirstColumn="0" w:firstRowLastColumn="0" w:lastRowFirstColumn="0" w:lastRowLastColumn="0"/>
              <w:rPr>
                <w:rFonts w:eastAsia="Calibri"/>
                <w:color w:val="000000"/>
              </w:rPr>
            </w:pPr>
            <w:r w:rsidRPr="00BF65EE">
              <w:rPr>
                <w:rFonts w:eastAsia="Calibri"/>
                <w:color w:val="000000" w:themeColor="text1"/>
              </w:rPr>
              <w:t>Commercial communications: service providers must ensure t</w:t>
            </w:r>
            <w:r w:rsidRPr="00BF65EE">
              <w:rPr>
                <w:rFonts w:eastAsia="Calibri"/>
                <w:color w:val="000000"/>
              </w:rPr>
              <w:t>hat said content complies with the terms for commercial communications (Articles 121 - 125) including age verification, with the exception of time limits defined in Article 123 (sections 4 and 5) if it is an alcoholic beverage. In addition, service providers must articulate a functionality that allows the users or content creators who upload videos to declare if they contain audiovisual commercial communications, as well as unequivocally inform the receiving</w:t>
            </w:r>
            <w:r w:rsidR="00C12311" w:rsidRPr="00BF65EE">
              <w:rPr>
                <w:rFonts w:eastAsia="Calibri"/>
                <w:color w:val="000000"/>
              </w:rPr>
              <w:t xml:space="preserve"> users of the commercial content in said videos. It also regulates how audiovisual commercial content related to gambling and betting can be disseminated.</w:t>
            </w:r>
          </w:p>
          <w:p w14:paraId="613E624F" w14:textId="77777777" w:rsidR="0074552A" w:rsidRDefault="0074552A" w:rsidP="0074552A">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0F492D" w14:paraId="0659D95B"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490DE4" w14:textId="77777777" w:rsidR="0074552A" w:rsidRDefault="00D97AF7" w:rsidP="0074552A">
            <w:pPr>
              <w:spacing w:line="276" w:lineRule="auto"/>
              <w:rPr>
                <w:rFonts w:cs="Arial"/>
                <w:color w:val="747474" w:themeColor="background2" w:themeShade="80"/>
              </w:rPr>
            </w:pPr>
            <w:r>
              <w:rPr>
                <w:rFonts w:cs="Arial"/>
                <w:color w:val="747474" w:themeColor="background2" w:themeShade="80"/>
              </w:rPr>
              <w:lastRenderedPageBreak/>
              <w:t>11.3</w:t>
            </w:r>
          </w:p>
        </w:tc>
        <w:tc>
          <w:tcPr>
            <w:tcW w:w="2126" w:type="dxa"/>
          </w:tcPr>
          <w:p w14:paraId="7EA6A862" w14:textId="77777777" w:rsidR="0074552A" w:rsidRPr="00275162" w:rsidRDefault="00D97AF7" w:rsidP="0074552A">
            <w:pPr>
              <w:pStyle w:val="Subjectcolumntext"/>
              <w:cnfStyle w:val="000000100000" w:firstRow="0" w:lastRow="0" w:firstColumn="0" w:lastColumn="0" w:oddVBand="0" w:evenVBand="0" w:oddHBand="1" w:evenHBand="0" w:firstRowFirstColumn="0" w:firstRowLastColumn="0" w:lastRowFirstColumn="0" w:lastRowLastColumn="0"/>
            </w:pPr>
            <w:r w:rsidRPr="00A643D6">
              <w:t>Are there any special rules governing the use of social media for advertising purposes?</w:t>
            </w:r>
          </w:p>
        </w:tc>
        <w:tc>
          <w:tcPr>
            <w:tcW w:w="2127" w:type="dxa"/>
          </w:tcPr>
          <w:p w14:paraId="5A96BF85" w14:textId="77777777" w:rsidR="0074552A" w:rsidRDefault="0074552A" w:rsidP="0074552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43E3E56" w14:textId="3FC68D0F" w:rsidR="00594732" w:rsidRPr="00594732" w:rsidRDefault="00D97AF7" w:rsidP="00594732">
            <w:pPr>
              <w:cnfStyle w:val="000000100000" w:firstRow="0" w:lastRow="0" w:firstColumn="0" w:lastColumn="0" w:oddVBand="0" w:evenVBand="0" w:oddHBand="1" w:evenHBand="0" w:firstRowFirstColumn="0" w:firstRowLastColumn="0" w:lastRowFirstColumn="0" w:lastRowLastColumn="0"/>
              <w:rPr>
                <w:color w:val="000000" w:themeColor="text1"/>
              </w:rPr>
            </w:pPr>
            <w:r w:rsidRPr="00594732">
              <w:rPr>
                <w:color w:val="000000" w:themeColor="text1"/>
              </w:rPr>
              <w:t xml:space="preserve">According to Article 19 of the </w:t>
            </w:r>
            <w:hyperlink r:id="rId198" w:history="1">
              <w:r w:rsidRPr="00594732">
                <w:rPr>
                  <w:rStyle w:val="Hyperlink"/>
                  <w:color w:val="000000" w:themeColor="text1"/>
                </w:rPr>
                <w:t>Law on Information Society Services and Electronic Commerce</w:t>
              </w:r>
            </w:hyperlink>
            <w:r w:rsidRPr="00594732">
              <w:rPr>
                <w:color w:val="000000" w:themeColor="text1"/>
              </w:rPr>
              <w:t>: “commercial communications and promotional offers will be governed, in addition to this Law, by its own regulations and those in force on commercial and advertising".</w:t>
            </w:r>
            <w:r>
              <w:rPr>
                <w:color w:val="000000" w:themeColor="text1"/>
              </w:rPr>
              <w:t xml:space="preserve"> </w:t>
            </w:r>
            <w:r w:rsidRPr="00594732">
              <w:rPr>
                <w:color w:val="000000" w:themeColor="text1"/>
              </w:rPr>
              <w:t xml:space="preserve">This </w:t>
            </w:r>
            <w:r w:rsidR="00C2312A">
              <w:rPr>
                <w:color w:val="000000" w:themeColor="text1"/>
              </w:rPr>
              <w:t xml:space="preserve">indicates </w:t>
            </w:r>
            <w:r w:rsidRPr="00594732">
              <w:rPr>
                <w:color w:val="000000" w:themeColor="text1"/>
              </w:rPr>
              <w:t>that general Advertising laws apply, as well as the Protection of Personal Data (Law 3/2018) and the Defense of Consumers and Users (Royal Legislative Decree 1/2007) and other complementary regulations.</w:t>
            </w:r>
          </w:p>
          <w:p w14:paraId="42EA4E19" w14:textId="77777777" w:rsidR="00594732" w:rsidRPr="00594732" w:rsidRDefault="00D97AF7" w:rsidP="00594732">
            <w:pPr>
              <w:cnfStyle w:val="000000100000" w:firstRow="0" w:lastRow="0" w:firstColumn="0" w:lastColumn="0" w:oddVBand="0" w:evenVBand="0" w:oddHBand="1" w:evenHBand="0" w:firstRowFirstColumn="0" w:firstRowLastColumn="0" w:lastRowFirstColumn="0" w:lastRowLastColumn="0"/>
              <w:rPr>
                <w:color w:val="000000" w:themeColor="text1"/>
              </w:rPr>
            </w:pPr>
            <w:r w:rsidRPr="00594732">
              <w:rPr>
                <w:color w:val="000000" w:themeColor="text1"/>
              </w:rPr>
              <w:t xml:space="preserve">Likewise, articles 20 and 21 of the LSSI establish the obligations that commercial communications must comply with electronically, and this type of communication that has not been requested by the recipient, or that lacks express authorization to be sent, is prohibited. </w:t>
            </w:r>
          </w:p>
          <w:p w14:paraId="31C2DB4B" w14:textId="77777777" w:rsidR="00594732" w:rsidRDefault="00594732" w:rsidP="00594732">
            <w:pPr>
              <w:cnfStyle w:val="000000100000" w:firstRow="0" w:lastRow="0" w:firstColumn="0" w:lastColumn="0" w:oddVBand="0" w:evenVBand="0" w:oddHBand="1" w:evenHBand="0" w:firstRowFirstColumn="0" w:firstRowLastColumn="0" w:lastRowFirstColumn="0" w:lastRowLastColumn="0"/>
            </w:pPr>
          </w:p>
          <w:p w14:paraId="1B63874B" w14:textId="77777777" w:rsidR="00F04D03" w:rsidRDefault="00D97AF7" w:rsidP="00F04D03">
            <w:pPr>
              <w:cnfStyle w:val="000000100000" w:firstRow="0" w:lastRow="0" w:firstColumn="0" w:lastColumn="0" w:oddVBand="0" w:evenVBand="0" w:oddHBand="1" w:evenHBand="0" w:firstRowFirstColumn="0" w:firstRowLastColumn="0" w:lastRowFirstColumn="0" w:lastRowLastColumn="0"/>
            </w:pPr>
            <w:r>
              <w:t xml:space="preserve">The new Spanish </w:t>
            </w:r>
            <w:r w:rsidR="00C2312A">
              <w:t>LGCA</w:t>
            </w:r>
            <w:r>
              <w:t xml:space="preserve"> establishes another series of measures (Art. 89) to protect service users who share videos on online platforms, ranging from putting into practice the provisions of Art. 88 to implementing mechanisms that allow users to point out or rate the content defined in said article, to following up on previous notifications and claims as well as the implementation of literacy programs to publicize all existing measures.  In addition, to protect minors from</w:t>
            </w:r>
            <w:r w:rsidR="00FB3780">
              <w:t xml:space="preserve"> </w:t>
            </w:r>
            <w:r>
              <w:t>detrimental content, systems of age verification and parental control have been established.</w:t>
            </w:r>
          </w:p>
          <w:p w14:paraId="544A00D1" w14:textId="77777777" w:rsidR="0074552A" w:rsidRDefault="0074552A" w:rsidP="00594732">
            <w:pPr>
              <w:cnfStyle w:val="000000100000" w:firstRow="0" w:lastRow="0" w:firstColumn="0" w:lastColumn="0" w:oddVBand="0" w:evenVBand="0" w:oddHBand="1" w:evenHBand="0" w:firstRowFirstColumn="0" w:firstRowLastColumn="0" w:lastRowFirstColumn="0" w:lastRowLastColumn="0"/>
            </w:pPr>
          </w:p>
          <w:p w14:paraId="360E3116" w14:textId="77777777" w:rsidR="00F261EF" w:rsidRDefault="00D97AF7" w:rsidP="00F261EF">
            <w:pPr>
              <w:cnfStyle w:val="000000100000" w:firstRow="0" w:lastRow="0" w:firstColumn="0" w:lastColumn="0" w:oddVBand="0" w:evenVBand="0" w:oddHBand="1" w:evenHBand="0" w:firstRowFirstColumn="0" w:firstRowLastColumn="0" w:lastRowFirstColumn="0" w:lastRowLastColumn="0"/>
            </w:pPr>
            <w:r>
              <w:t xml:space="preserve">Also, the law explicitly names, ‘vloggers, influencers, or opinion formers’ like ‘relevant influencers’ who use video sharing services on online platforms for two reasons:  they are very influential agents, especially with the young public, and they are a focus of advertising spending on the part of the advertisers. According to Article 94.2, the </w:t>
            </w:r>
            <w:r>
              <w:lastRenderedPageBreak/>
              <w:t>following requirements must be fulfilled to be considered relevant influencers:</w:t>
            </w:r>
          </w:p>
          <w:p w14:paraId="597DE6B1" w14:textId="0C5A92C4" w:rsidR="00F261EF" w:rsidRDefault="002C631B" w:rsidP="00F261EF">
            <w:pPr>
              <w:pStyle w:val="ListParagraph"/>
              <w:numPr>
                <w:ilvl w:val="0"/>
                <w:numId w:val="18"/>
              </w:num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pPr>
            <w:r>
              <w:rPr>
                <w:rFonts w:eastAsia="Calibri"/>
                <w:color w:val="000000"/>
              </w:rPr>
              <w:t>To r</w:t>
            </w:r>
            <w:r w:rsidR="00D97AF7" w:rsidRPr="00F261EF">
              <w:rPr>
                <w:rFonts w:eastAsia="Calibri"/>
                <w:color w:val="000000"/>
              </w:rPr>
              <w:t>eceive compensation for video sharing</w:t>
            </w:r>
          </w:p>
          <w:p w14:paraId="4E07FC00" w14:textId="10FBBFFA" w:rsidR="00F261EF" w:rsidRDefault="002C631B" w:rsidP="00F261EF">
            <w:pPr>
              <w:pStyle w:val="ListParagraph"/>
              <w:numPr>
                <w:ilvl w:val="0"/>
                <w:numId w:val="18"/>
              </w:num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pPr>
            <w:r>
              <w:rPr>
                <w:rFonts w:eastAsia="Calibri"/>
                <w:color w:val="000000"/>
              </w:rPr>
              <w:t>To b</w:t>
            </w:r>
            <w:r w:rsidR="00D97AF7" w:rsidRPr="00F261EF">
              <w:rPr>
                <w:rFonts w:eastAsia="Calibri"/>
                <w:color w:val="000000"/>
              </w:rPr>
              <w:t>e responsible for editorial content</w:t>
            </w:r>
          </w:p>
          <w:p w14:paraId="235B74D4" w14:textId="77777777" w:rsidR="00F261EF" w:rsidRDefault="00D97AF7" w:rsidP="00F261EF">
            <w:pPr>
              <w:pStyle w:val="ListParagraph"/>
              <w:numPr>
                <w:ilvl w:val="0"/>
                <w:numId w:val="18"/>
              </w:num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pPr>
            <w:r w:rsidRPr="00F261EF">
              <w:rPr>
                <w:rFonts w:eastAsia="Calibri"/>
                <w:color w:val="000000"/>
              </w:rPr>
              <w:t>The content/service is intended for many users with potential impact</w:t>
            </w:r>
          </w:p>
          <w:p w14:paraId="069DA0EA" w14:textId="77777777" w:rsidR="00F261EF" w:rsidRDefault="00D97AF7" w:rsidP="00F261EF">
            <w:pPr>
              <w:pStyle w:val="ListParagraph"/>
              <w:numPr>
                <w:ilvl w:val="0"/>
                <w:numId w:val="18"/>
              </w:num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pPr>
            <w:r w:rsidRPr="00F261EF">
              <w:rPr>
                <w:rFonts w:eastAsia="Calibri"/>
                <w:color w:val="000000"/>
              </w:rPr>
              <w:t>The function of the content/service is “to inform, to entertain, or to educate” with the objective of being distributed</w:t>
            </w:r>
          </w:p>
          <w:p w14:paraId="6832F7D0" w14:textId="3F1E52E3" w:rsidR="00FB3780" w:rsidRPr="001D1BAD" w:rsidRDefault="00D97AF7" w:rsidP="00594732">
            <w:pPr>
              <w:pStyle w:val="ListParagraph"/>
              <w:numPr>
                <w:ilvl w:val="0"/>
                <w:numId w:val="18"/>
              </w:numPr>
              <w:pBdr>
                <w:top w:val="nil"/>
                <w:left w:val="nil"/>
                <w:bottom w:val="nil"/>
                <w:right w:val="nil"/>
                <w:between w:val="nil"/>
              </w:pBdr>
              <w:cnfStyle w:val="000000100000" w:firstRow="0" w:lastRow="0" w:firstColumn="0" w:lastColumn="0" w:oddVBand="0" w:evenVBand="0" w:oddHBand="1" w:evenHBand="0" w:firstRowFirstColumn="0" w:firstRowLastColumn="0" w:lastRowFirstColumn="0" w:lastRowLastColumn="0"/>
              <w:rPr>
                <w:rFonts w:eastAsia="Calibri"/>
                <w:color w:val="000000"/>
              </w:rPr>
            </w:pPr>
            <w:r w:rsidRPr="00F261EF">
              <w:rPr>
                <w:rFonts w:eastAsia="Calibri"/>
                <w:color w:val="000000"/>
              </w:rPr>
              <w:t>The service or content is offered through electronic communications networks in Spain</w:t>
            </w:r>
          </w:p>
        </w:tc>
      </w:tr>
      <w:tr w:rsidR="000F492D" w14:paraId="3B10B97C"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F43606" w14:textId="77777777" w:rsidR="0074552A" w:rsidRDefault="00D97AF7" w:rsidP="0074552A">
            <w:pPr>
              <w:spacing w:line="276" w:lineRule="auto"/>
              <w:rPr>
                <w:rFonts w:cs="Arial"/>
                <w:color w:val="747474" w:themeColor="background2" w:themeShade="80"/>
              </w:rPr>
            </w:pPr>
            <w:r>
              <w:rPr>
                <w:rFonts w:cs="Arial"/>
                <w:color w:val="747474" w:themeColor="background2" w:themeShade="80"/>
              </w:rPr>
              <w:lastRenderedPageBreak/>
              <w:t>11.4</w:t>
            </w:r>
          </w:p>
        </w:tc>
        <w:tc>
          <w:tcPr>
            <w:tcW w:w="2126" w:type="dxa"/>
          </w:tcPr>
          <w:p w14:paraId="16C96657" w14:textId="77777777" w:rsidR="0074552A" w:rsidRPr="00275162" w:rsidRDefault="00D97AF7" w:rsidP="0074552A">
            <w:pPr>
              <w:pStyle w:val="Subjectcolumntext"/>
              <w:cnfStyle w:val="000000000000" w:firstRow="0" w:lastRow="0" w:firstColumn="0" w:lastColumn="0" w:oddVBand="0" w:evenVBand="0" w:oddHBand="0" w:evenHBand="0" w:firstRowFirstColumn="0" w:firstRowLastColumn="0" w:lastRowFirstColumn="0" w:lastRowLastColumn="0"/>
            </w:pPr>
            <w:r w:rsidRPr="007A5E9E">
              <w:t>Is an advertiser responsible for advertising claims made in user generated content</w:t>
            </w:r>
            <w:r>
              <w:t>?</w:t>
            </w:r>
          </w:p>
        </w:tc>
        <w:tc>
          <w:tcPr>
            <w:tcW w:w="2127" w:type="dxa"/>
          </w:tcPr>
          <w:p w14:paraId="4767C922" w14:textId="77777777" w:rsidR="0074552A" w:rsidRDefault="0074552A" w:rsidP="0074552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39BF9A9" w14:textId="016D2AEC" w:rsidR="00CA7116" w:rsidRDefault="00D97AF7" w:rsidP="00FF2166">
            <w:pPr>
              <w:cnfStyle w:val="000000000000" w:firstRow="0" w:lastRow="0" w:firstColumn="0" w:lastColumn="0" w:oddVBand="0" w:evenVBand="0" w:oddHBand="0" w:evenHBand="0" w:firstRowFirstColumn="0" w:firstRowLastColumn="0" w:lastRowFirstColumn="0" w:lastRowLastColumn="0"/>
            </w:pPr>
            <w:r>
              <w:t xml:space="preserve">Under </w:t>
            </w:r>
            <w:r w:rsidR="00295D81">
              <w:t>Article 13.1 of the Spanish Act of Information Society Services and Electronic Commerce, (E-Commerce Act)</w:t>
            </w:r>
            <w:r w:rsidR="002C631B">
              <w:t>,</w:t>
            </w:r>
            <w:r w:rsidR="00295D81">
              <w:t xml:space="preserve"> the service provider is </w:t>
            </w:r>
            <w:r>
              <w:t xml:space="preserve">responsible for the </w:t>
            </w:r>
          </w:p>
          <w:p w14:paraId="41C5C035" w14:textId="77777777" w:rsidR="00CA7116" w:rsidRDefault="00D97AF7" w:rsidP="00FF2166">
            <w:pPr>
              <w:cnfStyle w:val="000000000000" w:firstRow="0" w:lastRow="0" w:firstColumn="0" w:lastColumn="0" w:oddVBand="0" w:evenVBand="0" w:oddHBand="0" w:evenHBand="0" w:firstRowFirstColumn="0" w:firstRowLastColumn="0" w:lastRowFirstColumn="0" w:lastRowLastColumn="0"/>
            </w:pPr>
            <w:r>
              <w:t>content of its websites, unless its participation falls within any of the exemptions regulated in Articles 15–17 of the E-Commerce Act (hosting, caching, mere conduit).</w:t>
            </w:r>
          </w:p>
          <w:p w14:paraId="5A6B75D0" w14:textId="77777777" w:rsidR="00A64692" w:rsidRDefault="00D97AF7" w:rsidP="00A64692">
            <w:pPr>
              <w:cnfStyle w:val="000000000000" w:firstRow="0" w:lastRow="0" w:firstColumn="0" w:lastColumn="0" w:oddVBand="0" w:evenVBand="0" w:oddHBand="0" w:evenHBand="0" w:firstRowFirstColumn="0" w:firstRowLastColumn="0" w:lastRowFirstColumn="0" w:lastRowLastColumn="0"/>
            </w:pPr>
            <w:r>
              <w:t xml:space="preserve">The service provider is </w:t>
            </w:r>
            <w:r w:rsidR="00295D81">
              <w:t>subject to civil, penal and public law</w:t>
            </w:r>
            <w:r w:rsidR="001C5DA7">
              <w:t>.</w:t>
            </w:r>
            <w:r w:rsidR="00596C67">
              <w:t xml:space="preserve"> </w:t>
            </w:r>
            <w:r w:rsidR="00A922E3">
              <w:t xml:space="preserve">Following the principles of EC Directive 2000/31, </w:t>
            </w:r>
            <w:r w:rsidR="00596C67">
              <w:t>‘</w:t>
            </w:r>
            <w:r w:rsidR="00A922E3">
              <w:t>the limitation of liability also includes the obligation on the exempted provider, upon obtaining actual knowledge or awareness of illegal activities, to expeditiously remove or disable access to the information concerned’ (GALA 2019: 875).</w:t>
            </w:r>
            <w:r>
              <w:t xml:space="preserve"> The service provider is responsible for advertising content</w:t>
            </w:r>
            <w:r w:rsidR="001D181D">
              <w:t xml:space="preserve"> </w:t>
            </w:r>
            <w:r w:rsidR="005E2F7C">
              <w:t xml:space="preserve">and there is </w:t>
            </w:r>
            <w:r w:rsidR="00AE268C">
              <w:t xml:space="preserve">no exception of responsibility for advertisements placed by contractual partners </w:t>
            </w:r>
            <w:r>
              <w:t>(GALA 2019: 875).</w:t>
            </w:r>
          </w:p>
          <w:p w14:paraId="67938E1E" w14:textId="77777777" w:rsidR="001C5DA7" w:rsidRDefault="001C5DA7" w:rsidP="00FF2166">
            <w:pPr>
              <w:cnfStyle w:val="000000000000" w:firstRow="0" w:lastRow="0" w:firstColumn="0" w:lastColumn="0" w:oddVBand="0" w:evenVBand="0" w:oddHBand="0" w:evenHBand="0" w:firstRowFirstColumn="0" w:firstRowLastColumn="0" w:lastRowFirstColumn="0" w:lastRowLastColumn="0"/>
            </w:pPr>
          </w:p>
          <w:p w14:paraId="22C001C5" w14:textId="3AB98F65" w:rsidR="0074552A" w:rsidRDefault="00D97AF7" w:rsidP="00FF2166">
            <w:pPr>
              <w:cnfStyle w:val="000000000000" w:firstRow="0" w:lastRow="0" w:firstColumn="0" w:lastColumn="0" w:oddVBand="0" w:evenVBand="0" w:oddHBand="0" w:evenHBand="0" w:firstRowFirstColumn="0" w:firstRowLastColumn="0" w:lastRowFirstColumn="0" w:lastRowLastColumn="0"/>
              <w:rPr>
                <w:rFonts w:cs="Arial"/>
              </w:rPr>
            </w:pPr>
            <w:r>
              <w:t xml:space="preserve">Relevant influencers must </w:t>
            </w:r>
            <w:r w:rsidR="00525A76">
              <w:t xml:space="preserve">comply with </w:t>
            </w:r>
            <w:r>
              <w:t xml:space="preserve">the general audiovisual communication principles found in Title I of the new </w:t>
            </w:r>
            <w:r w:rsidR="00525A76">
              <w:t xml:space="preserve">LGCA, </w:t>
            </w:r>
            <w:r>
              <w:t xml:space="preserve">along with the basic obligations regarding the protection of minors and consumers. According to Article 39, </w:t>
            </w:r>
            <w:r w:rsidR="005D70B5">
              <w:t>‘relevant influencers’</w:t>
            </w:r>
            <w:r>
              <w:t xml:space="preserve"> must be registered in the State Registry of Audiovisual Communication Service Providers with the Ministry of Economic Affairs and Digital Transformation of Spain. As stated in Article 94.1, relevant influencers who participate in video sharing on online platforms are considered</w:t>
            </w:r>
            <w:r w:rsidR="005D70B5">
              <w:t xml:space="preserve"> ‘</w:t>
            </w:r>
            <w:r>
              <w:t>audiovisual communication service providers</w:t>
            </w:r>
            <w:r w:rsidR="005D70B5">
              <w:t>’</w:t>
            </w:r>
            <w:r>
              <w:t xml:space="preserve"> and must respect all the obligations found in the </w:t>
            </w:r>
            <w:r w:rsidR="005D70B5">
              <w:t>LGCA</w:t>
            </w:r>
            <w:r>
              <w:t>. This includes facilitating mechanisms to describe the content</w:t>
            </w:r>
            <w:r w:rsidR="002C631B">
              <w:t xml:space="preserve"> and </w:t>
            </w:r>
            <w:r>
              <w:t>emphasizing that they must fulfil the obligations for commercial communication</w:t>
            </w:r>
            <w:r w:rsidR="005D70B5">
              <w:t>s</w:t>
            </w:r>
            <w:r>
              <w:t xml:space="preserve"> found in Article 89, especially with respect to audiovisual commercial content. Educational or scientific cent</w:t>
            </w:r>
            <w:r w:rsidR="005D70B5">
              <w:t>re</w:t>
            </w:r>
            <w:r>
              <w:t>s whose content is for dissemination; museums, theat</w:t>
            </w:r>
            <w:r w:rsidR="001D1BAD">
              <w:t>re</w:t>
            </w:r>
            <w:r>
              <w:t>s, or cultural entities; public administrations or political parties whose purpose is to inform; companies and freelancers who want to promote their products or</w:t>
            </w:r>
            <w:r w:rsidR="004E060E">
              <w:t xml:space="preserve"> services; and self-promotion of </w:t>
            </w:r>
            <w:r w:rsidR="004E060E">
              <w:lastRenderedPageBreak/>
              <w:t xml:space="preserve">associations and NGOs do not need to comply with the obligations of Article 94.1.  </w:t>
            </w:r>
          </w:p>
        </w:tc>
      </w:tr>
      <w:tr w:rsidR="000F492D" w14:paraId="45528FEF"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BA89880" w14:textId="77777777" w:rsidR="0074552A" w:rsidRDefault="00D97AF7" w:rsidP="0074552A">
            <w:pPr>
              <w:spacing w:line="276" w:lineRule="auto"/>
              <w:rPr>
                <w:rFonts w:cs="Arial"/>
                <w:color w:val="747474" w:themeColor="background2" w:themeShade="80"/>
              </w:rPr>
            </w:pPr>
            <w:r>
              <w:rPr>
                <w:rFonts w:cs="Arial"/>
                <w:color w:val="747474" w:themeColor="background2" w:themeShade="80"/>
              </w:rPr>
              <w:lastRenderedPageBreak/>
              <w:t>11.5</w:t>
            </w:r>
          </w:p>
        </w:tc>
        <w:tc>
          <w:tcPr>
            <w:tcW w:w="2126" w:type="dxa"/>
          </w:tcPr>
          <w:p w14:paraId="5DEF20CB" w14:textId="77777777" w:rsidR="0074552A" w:rsidRPr="00275162" w:rsidRDefault="00D97AF7" w:rsidP="0074552A">
            <w:pPr>
              <w:pStyle w:val="Subjectcolumntext"/>
              <w:cnfStyle w:val="000000100000" w:firstRow="0" w:lastRow="0" w:firstColumn="0" w:lastColumn="0" w:oddVBand="0" w:evenVBand="0" w:oddHBand="1" w:evenHBand="0" w:firstRowFirstColumn="0" w:firstRowLastColumn="0" w:lastRowFirstColumn="0" w:lastRowLastColumn="0"/>
            </w:pPr>
            <w:r w:rsidRPr="0035017A">
              <w:t>Are there any key court or self-regulatory decisions regarding the use of social media and user generated content</w:t>
            </w:r>
            <w:r>
              <w:t xml:space="preserve"> for marketing communications</w:t>
            </w:r>
            <w:r w:rsidRPr="0035017A">
              <w:t>?</w:t>
            </w:r>
          </w:p>
        </w:tc>
        <w:tc>
          <w:tcPr>
            <w:tcW w:w="2127" w:type="dxa"/>
          </w:tcPr>
          <w:p w14:paraId="39C9F1B9" w14:textId="77777777" w:rsidR="0074552A" w:rsidRDefault="0074552A" w:rsidP="0074552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34B2837" w14:textId="77777777" w:rsidR="0074552A" w:rsidRDefault="00D97AF7" w:rsidP="001D1BAD">
            <w:pPr>
              <w:cnfStyle w:val="000000100000" w:firstRow="0" w:lastRow="0" w:firstColumn="0" w:lastColumn="0" w:oddVBand="0" w:evenVBand="0" w:oddHBand="1" w:evenHBand="0" w:firstRowFirstColumn="0" w:firstRowLastColumn="0" w:lastRowFirstColumn="0" w:lastRowLastColumn="0"/>
              <w:rPr>
                <w:rFonts w:cs="Arial"/>
              </w:rPr>
            </w:pPr>
            <w:r>
              <w:t xml:space="preserve">The Provincial Court of Madrid declared Groupon Spain to be jointly liable </w:t>
            </w:r>
            <w:r w:rsidR="0089050A">
              <w:t>for</w:t>
            </w:r>
            <w:r>
              <w:t xml:space="preserve"> copyright infringement concerning sales made in its marketplace by a third party</w:t>
            </w:r>
            <w:r w:rsidR="0089050A">
              <w:t xml:space="preserve">, in a Court judgement </w:t>
            </w:r>
            <w:r w:rsidR="00352B45">
              <w:t>of</w:t>
            </w:r>
            <w:r w:rsidR="0089050A">
              <w:t xml:space="preserve"> 15 September 2017</w:t>
            </w:r>
            <w:r>
              <w:t xml:space="preserve">. The Court </w:t>
            </w:r>
            <w:r w:rsidR="00352B45">
              <w:t xml:space="preserve">found </w:t>
            </w:r>
            <w:r>
              <w:t xml:space="preserve">that </w:t>
            </w:r>
            <w:r w:rsidR="00352B45">
              <w:t>‘</w:t>
            </w:r>
            <w:r>
              <w:t>Groupon’s participation was not limited to actions of technical nature’ (GALA 2019: 876).</w:t>
            </w:r>
          </w:p>
        </w:tc>
      </w:tr>
    </w:tbl>
    <w:p w14:paraId="0B68A862" w14:textId="77777777" w:rsidR="00AD163A" w:rsidRPr="009F40CC" w:rsidRDefault="00D97AF7" w:rsidP="00AD163A">
      <w:pPr>
        <w:pStyle w:val="SectionHead"/>
        <w:rPr>
          <w:iCs w:val="0"/>
        </w:rPr>
      </w:pPr>
      <w:bookmarkStart w:id="18" w:name="_Toc170136352"/>
      <w:r w:rsidRPr="003A2DAE">
        <w:rPr>
          <w:iCs w:val="0"/>
        </w:rPr>
        <w:t>Outdoor</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0F492D" w14:paraId="05AA2303"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91061F0" w14:textId="77777777" w:rsidR="00AD163A" w:rsidRPr="00686D2A" w:rsidRDefault="00D97AF7" w:rsidP="00F92CC7">
            <w:pPr>
              <w:pStyle w:val="Tableheadings"/>
            </w:pPr>
            <w:r w:rsidRPr="00686D2A">
              <w:rPr>
                <w:b/>
                <w:bCs/>
              </w:rPr>
              <w:t>Item</w:t>
            </w:r>
          </w:p>
        </w:tc>
        <w:tc>
          <w:tcPr>
            <w:tcW w:w="2126" w:type="dxa"/>
            <w:tcBorders>
              <w:bottom w:val="none" w:sz="0" w:space="0" w:color="auto"/>
            </w:tcBorders>
          </w:tcPr>
          <w:p w14:paraId="1489FFB8" w14:textId="77777777" w:rsidR="00AD163A"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7" w:type="dxa"/>
            <w:tcBorders>
              <w:bottom w:val="none" w:sz="0" w:space="0" w:color="auto"/>
            </w:tcBorders>
          </w:tcPr>
          <w:p w14:paraId="0D23ECEB" w14:textId="77777777" w:rsidR="00AD163A"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3644BA41" w14:textId="77777777" w:rsidR="00AD163A"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424EE4">
              <w:rPr>
                <w:b/>
                <w:bCs/>
              </w:rPr>
              <w:t>Description</w:t>
            </w:r>
          </w:p>
        </w:tc>
      </w:tr>
      <w:tr w:rsidR="000F492D" w14:paraId="1CB2156A"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6B0DE3EF" w14:textId="77777777" w:rsidR="002D7893" w:rsidRPr="00203503" w:rsidRDefault="00D97AF7" w:rsidP="002D7893">
            <w:pPr>
              <w:spacing w:line="276" w:lineRule="auto"/>
              <w:rPr>
                <w:rFonts w:cs="Arial"/>
                <w:color w:val="747474" w:themeColor="background2" w:themeShade="80"/>
              </w:rPr>
            </w:pPr>
            <w:r>
              <w:rPr>
                <w:rFonts w:cs="Arial"/>
                <w:color w:val="747474" w:themeColor="background2" w:themeShade="80"/>
              </w:rPr>
              <w:t>12.1</w:t>
            </w:r>
          </w:p>
        </w:tc>
        <w:tc>
          <w:tcPr>
            <w:tcW w:w="2126" w:type="dxa"/>
            <w:tcBorders>
              <w:top w:val="none" w:sz="0" w:space="0" w:color="auto"/>
              <w:bottom w:val="none" w:sz="0" w:space="0" w:color="auto"/>
            </w:tcBorders>
          </w:tcPr>
          <w:p w14:paraId="0EEE2A5C" w14:textId="77777777" w:rsidR="002D7893" w:rsidRPr="000004F6" w:rsidRDefault="00D97AF7" w:rsidP="002D7893">
            <w:pPr>
              <w:pStyle w:val="Subjectcolumntext"/>
              <w:cnfStyle w:val="000000100000" w:firstRow="0" w:lastRow="0" w:firstColumn="0" w:lastColumn="0" w:oddVBand="0" w:evenVBand="0" w:oddHBand="1" w:evenHBand="0" w:firstRowFirstColumn="0" w:firstRowLastColumn="0" w:lastRowFirstColumn="0" w:lastRowLastColumn="0"/>
            </w:pPr>
            <w:r w:rsidRPr="001803FC">
              <w:t xml:space="preserve">Rules/governance arrangements across sector </w:t>
            </w:r>
            <w:r w:rsidRPr="00E27D4E">
              <w:rPr>
                <w:b w:val="0"/>
                <w:bCs w:val="0"/>
              </w:rPr>
              <w:t>(outdoor billboard/posters; digital OOH; ambient; in-store/retail/e-commerce interfaces; other</w:t>
            </w:r>
            <w:r>
              <w:rPr>
                <w:b w:val="0"/>
                <w:bCs w:val="0"/>
              </w:rPr>
              <w:t>)</w:t>
            </w:r>
          </w:p>
        </w:tc>
        <w:tc>
          <w:tcPr>
            <w:tcW w:w="2127" w:type="dxa"/>
            <w:tcBorders>
              <w:top w:val="none" w:sz="0" w:space="0" w:color="auto"/>
              <w:bottom w:val="none" w:sz="0" w:space="0" w:color="auto"/>
            </w:tcBorders>
          </w:tcPr>
          <w:p w14:paraId="61DBB980" w14:textId="77777777" w:rsidR="002D7893" w:rsidRPr="00745C48" w:rsidRDefault="002D7893" w:rsidP="002D789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568588A" w14:textId="77777777" w:rsidR="002D7893" w:rsidRDefault="00D97AF7" w:rsidP="002D7893">
            <w:pPr>
              <w:cnfStyle w:val="000000100000" w:firstRow="0" w:lastRow="0" w:firstColumn="0" w:lastColumn="0" w:oddVBand="0" w:evenVBand="0" w:oddHBand="1" w:evenHBand="0" w:firstRowFirstColumn="0" w:firstRowLastColumn="0" w:lastRowFirstColumn="0" w:lastRowLastColumn="0"/>
              <w:rPr>
                <w:rStyle w:val="normaltextrun"/>
                <w:rFonts w:eastAsia="Calibri" w:cs="Arial"/>
                <w:color w:val="000000" w:themeColor="text1"/>
              </w:rPr>
            </w:pPr>
            <w:r w:rsidRPr="002D7893">
              <w:rPr>
                <w:rStyle w:val="normaltextrun"/>
                <w:rFonts w:eastAsia="Calibri" w:cs="Arial"/>
                <w:color w:val="000000" w:themeColor="text1"/>
              </w:rPr>
              <w:t>In the European Union, the Unfair Commercial Practices Directive (</w:t>
            </w:r>
            <w:hyperlink r:id="rId199" w:history="1">
              <w:r w:rsidRPr="002D7893">
                <w:rPr>
                  <w:rStyle w:val="Hyperlink"/>
                  <w:rFonts w:cs="Arial"/>
                  <w:color w:val="0563C1"/>
                </w:rPr>
                <w:t>Directive 2005/29/EC</w:t>
              </w:r>
            </w:hyperlink>
            <w:r w:rsidRPr="002D7893">
              <w:rPr>
                <w:rStyle w:val="normaltextrun"/>
                <w:rFonts w:eastAsia="Calibri" w:cs="Arial"/>
                <w:color w:val="000000" w:themeColor="text1"/>
              </w:rPr>
              <w:t>) and the Misleading and Comparative Advertising Directive (</w:t>
            </w:r>
            <w:hyperlink r:id="rId200" w:history="1">
              <w:r w:rsidRPr="002D7893">
                <w:rPr>
                  <w:rStyle w:val="Hyperlink"/>
                  <w:rFonts w:cs="Arial"/>
                </w:rPr>
                <w:t>Directive 2006/114/EC</w:t>
              </w:r>
            </w:hyperlink>
            <w:r w:rsidRPr="002D7893">
              <w:rPr>
                <w:rStyle w:val="normaltextrun"/>
                <w:rFonts w:eastAsia="Calibri" w:cs="Arial"/>
                <w:color w:val="000000" w:themeColor="text1"/>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2D7893">
              <w:rPr>
                <w:rStyle w:val="normaltextrun"/>
                <w:rFonts w:eastAsia="Calibri" w:cs="Arial"/>
                <w:b/>
                <w:bCs/>
                <w:color w:val="000000" w:themeColor="text1"/>
              </w:rPr>
              <w:t>6.1</w:t>
            </w:r>
            <w:r w:rsidRPr="002D7893">
              <w:rPr>
                <w:rStyle w:val="normaltextrun"/>
                <w:rFonts w:eastAsia="Calibri" w:cs="Arial"/>
                <w:color w:val="000000" w:themeColor="text1"/>
              </w:rPr>
              <w:t>).</w:t>
            </w:r>
          </w:p>
          <w:p w14:paraId="4F197555" w14:textId="77777777" w:rsidR="00D070D2" w:rsidRDefault="00D070D2" w:rsidP="002D7893">
            <w:pPr>
              <w:cnfStyle w:val="000000100000" w:firstRow="0" w:lastRow="0" w:firstColumn="0" w:lastColumn="0" w:oddVBand="0" w:evenVBand="0" w:oddHBand="1" w:evenHBand="0" w:firstRowFirstColumn="0" w:firstRowLastColumn="0" w:lastRowFirstColumn="0" w:lastRowLastColumn="0"/>
              <w:rPr>
                <w:rStyle w:val="normaltextrun"/>
                <w:rFonts w:eastAsia="Calibri" w:cs="Arial"/>
                <w:color w:val="000000" w:themeColor="text1"/>
              </w:rPr>
            </w:pPr>
          </w:p>
          <w:p w14:paraId="1EB7177F" w14:textId="77777777" w:rsidR="00D070D2" w:rsidRDefault="00D97AF7" w:rsidP="00D070D2">
            <w:pPr>
              <w:cnfStyle w:val="000000100000" w:firstRow="0" w:lastRow="0" w:firstColumn="0" w:lastColumn="0" w:oddVBand="0" w:evenVBand="0" w:oddHBand="1" w:evenHBand="0" w:firstRowFirstColumn="0" w:firstRowLastColumn="0" w:lastRowFirstColumn="0" w:lastRowLastColumn="0"/>
            </w:pPr>
            <w:r>
              <w:t xml:space="preserve">The main sources relating to </w:t>
            </w:r>
            <w:r w:rsidR="00D121DE">
              <w:t xml:space="preserve">outdoor branded content </w:t>
            </w:r>
            <w:r>
              <w:t xml:space="preserve">in Spain are:  </w:t>
            </w:r>
          </w:p>
          <w:p w14:paraId="710D1FE7" w14:textId="77777777" w:rsidR="00D070D2" w:rsidRDefault="00D97AF7" w:rsidP="00D070D2">
            <w:pPr>
              <w:cnfStyle w:val="000000100000" w:firstRow="0" w:lastRow="0" w:firstColumn="0" w:lastColumn="0" w:oddVBand="0" w:evenVBand="0" w:oddHBand="1" w:evenHBand="0" w:firstRowFirstColumn="0" w:firstRowLastColumn="0" w:lastRowFirstColumn="0" w:lastRowLastColumn="0"/>
            </w:pPr>
            <w:r>
              <w:t xml:space="preserve">(a) the General Advertising Act (Law 34/1988 of 11 November);  </w:t>
            </w:r>
          </w:p>
          <w:p w14:paraId="1F8DC6AC" w14:textId="77777777" w:rsidR="00D070D2" w:rsidRDefault="00D97AF7" w:rsidP="00D070D2">
            <w:pPr>
              <w:cnfStyle w:val="000000100000" w:firstRow="0" w:lastRow="0" w:firstColumn="0" w:lastColumn="0" w:oddVBand="0" w:evenVBand="0" w:oddHBand="1" w:evenHBand="0" w:firstRowFirstColumn="0" w:firstRowLastColumn="0" w:lastRowFirstColumn="0" w:lastRowLastColumn="0"/>
            </w:pPr>
            <w:r>
              <w:t xml:space="preserve">(b) the Unfair Competition Act (Law 3/1991 of 10 January); and  </w:t>
            </w:r>
          </w:p>
          <w:p w14:paraId="1D0B81BD" w14:textId="77777777" w:rsidR="00D070D2" w:rsidRDefault="00D97AF7" w:rsidP="00D070D2">
            <w:pPr>
              <w:cnfStyle w:val="000000100000" w:firstRow="0" w:lastRow="0" w:firstColumn="0" w:lastColumn="0" w:oddVBand="0" w:evenVBand="0" w:oddHBand="1" w:evenHBand="0" w:firstRowFirstColumn="0" w:firstRowLastColumn="0" w:lastRowFirstColumn="0" w:lastRowLastColumn="0"/>
            </w:pPr>
            <w:r>
              <w:t>(c) the General Law 13/2022 of July 7 on Audiovisual Communications (</w:t>
            </w:r>
            <w:r w:rsidR="00D121DE">
              <w:t>LGCA</w:t>
            </w:r>
            <w:r>
              <w:t>) (</w:t>
            </w:r>
            <w:hyperlink r:id="rId201" w:history="1">
              <w:r w:rsidRPr="003D0E6F">
                <w:rPr>
                  <w:rStyle w:val="Hyperlink"/>
                </w:rPr>
                <w:t>BOE, 2022a</w:t>
              </w:r>
            </w:hyperlink>
            <w:r>
              <w:t>.)</w:t>
            </w:r>
          </w:p>
          <w:p w14:paraId="5D7CED8D" w14:textId="53594E6F" w:rsidR="00D070D2" w:rsidRPr="002D7893" w:rsidRDefault="00D97AF7" w:rsidP="00D070D2">
            <w:pPr>
              <w:cnfStyle w:val="000000100000" w:firstRow="0" w:lastRow="0" w:firstColumn="0" w:lastColumn="0" w:oddVBand="0" w:evenVBand="0" w:oddHBand="1" w:evenHBand="0" w:firstRowFirstColumn="0" w:firstRowLastColumn="0" w:lastRowFirstColumn="0" w:lastRowLastColumn="0"/>
              <w:rPr>
                <w:rFonts w:cs="Arial"/>
              </w:rPr>
            </w:pPr>
            <w:r>
              <w:t>In addition, there are special regulations covering specific requirements for certain products (</w:t>
            </w:r>
            <w:r w:rsidR="00913E51">
              <w:t>e.g.</w:t>
            </w:r>
            <w:r>
              <w:t>, food, alcoholic beverages, tobacco and drugs), advertising in particular media (</w:t>
            </w:r>
            <w:r w:rsidR="00913E51">
              <w:t>e.g.</w:t>
            </w:r>
            <w:r>
              <w:t>, television) and advertisements directed at certain target audiences (</w:t>
            </w:r>
            <w:r w:rsidR="00913E51">
              <w:t>e.g.</w:t>
            </w:r>
            <w:r>
              <w:t xml:space="preserve">, children or adolescents).  </w:t>
            </w:r>
          </w:p>
        </w:tc>
      </w:tr>
      <w:tr w:rsidR="000F492D" w14:paraId="0095D0CC"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C3927" w14:textId="77777777" w:rsidR="002D7893" w:rsidRPr="00203503" w:rsidRDefault="00D97AF7" w:rsidP="002D7893">
            <w:pPr>
              <w:spacing w:line="276" w:lineRule="auto"/>
              <w:rPr>
                <w:rFonts w:cs="Arial"/>
                <w:color w:val="3A3A3A" w:themeColor="background2" w:themeShade="40"/>
              </w:rPr>
            </w:pPr>
            <w:r>
              <w:rPr>
                <w:rFonts w:cs="Arial"/>
                <w:color w:val="747474" w:themeColor="background2" w:themeShade="80"/>
              </w:rPr>
              <w:t>12.2</w:t>
            </w:r>
          </w:p>
        </w:tc>
        <w:tc>
          <w:tcPr>
            <w:tcW w:w="2126" w:type="dxa"/>
          </w:tcPr>
          <w:p w14:paraId="5F598F77" w14:textId="77777777" w:rsidR="002D7893" w:rsidRDefault="00D97AF7" w:rsidP="002D7893">
            <w:pPr>
              <w:pStyle w:val="Subjectcolumntext"/>
              <w:cnfStyle w:val="000000000000" w:firstRow="0" w:lastRow="0" w:firstColumn="0" w:lastColumn="0" w:oddVBand="0" w:evenVBand="0" w:oddHBand="0" w:evenHBand="0" w:firstRowFirstColumn="0" w:firstRowLastColumn="0" w:lastRowFirstColumn="0" w:lastRowLastColumn="0"/>
            </w:pPr>
            <w:r w:rsidRPr="00275162">
              <w:t xml:space="preserve">How is </w:t>
            </w:r>
            <w:r>
              <w:t xml:space="preserve">branded </w:t>
            </w:r>
            <w:r w:rsidRPr="00275162">
              <w:t>content described and ordered in governance?</w:t>
            </w:r>
          </w:p>
        </w:tc>
        <w:tc>
          <w:tcPr>
            <w:tcW w:w="2127" w:type="dxa"/>
          </w:tcPr>
          <w:p w14:paraId="09E1C3A4" w14:textId="77777777" w:rsidR="002D7893" w:rsidRDefault="002D7893" w:rsidP="002D789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51B2446" w14:textId="77777777" w:rsidR="002D7893" w:rsidRPr="002D7893" w:rsidRDefault="00D97AF7" w:rsidP="002D7893">
            <w:pPr>
              <w:spacing w:after="160"/>
              <w:cnfStyle w:val="000000000000" w:firstRow="0" w:lastRow="0" w:firstColumn="0" w:lastColumn="0" w:oddVBand="0" w:evenVBand="0" w:oddHBand="0" w:evenHBand="0" w:firstRowFirstColumn="0" w:firstRowLastColumn="0" w:lastRowFirstColumn="0" w:lastRowLastColumn="0"/>
              <w:rPr>
                <w:rStyle w:val="normaltextrun"/>
                <w:rFonts w:eastAsia="Calibri" w:cs="Arial"/>
                <w:color w:val="000000" w:themeColor="text1"/>
              </w:rPr>
            </w:pPr>
            <w:r w:rsidRPr="002D7893">
              <w:rPr>
                <w:rStyle w:val="normaltextrun"/>
                <w:rFonts w:eastAsia="Calibri" w:cs="Arial"/>
                <w:color w:val="000000" w:themeColor="text1"/>
              </w:rPr>
              <w:t>The Unfair Commercial Practices Directive (</w:t>
            </w:r>
            <w:hyperlink r:id="rId202" w:history="1">
              <w:r w:rsidRPr="002D7893">
                <w:rPr>
                  <w:rStyle w:val="Hyperlink"/>
                  <w:rFonts w:cs="Arial"/>
                  <w:color w:val="0563C1"/>
                </w:rPr>
                <w:t>Directive 2005/29/EC</w:t>
              </w:r>
            </w:hyperlink>
            <w:r w:rsidRPr="002D7893">
              <w:rPr>
                <w:rStyle w:val="normaltextrun"/>
                <w:rFonts w:eastAsia="Calibri" w:cs="Arial"/>
                <w:color w:val="000000" w:themeColor="text1"/>
              </w:rPr>
              <w:t>) classifies undisclosed commercial communication as a misleading omission, which is a prohibited practice.</w:t>
            </w:r>
          </w:p>
          <w:p w14:paraId="6D4B6605" w14:textId="77777777" w:rsidR="002D7893" w:rsidRPr="002D7893" w:rsidRDefault="00D97AF7" w:rsidP="002D7893">
            <w:pPr>
              <w:cnfStyle w:val="000000000000" w:firstRow="0" w:lastRow="0" w:firstColumn="0" w:lastColumn="0" w:oddVBand="0" w:evenVBand="0" w:oddHBand="0" w:evenHBand="0" w:firstRowFirstColumn="0" w:firstRowLastColumn="0" w:lastRowFirstColumn="0" w:lastRowLastColumn="0"/>
              <w:rPr>
                <w:rFonts w:cs="Arial"/>
              </w:rPr>
            </w:pPr>
            <w:r>
              <w:t>See also 7.2</w:t>
            </w:r>
          </w:p>
        </w:tc>
      </w:tr>
    </w:tbl>
    <w:p w14:paraId="0E77C2B5" w14:textId="77777777" w:rsidR="000A52F4" w:rsidRPr="00123C17" w:rsidRDefault="00D97AF7" w:rsidP="00123C17">
      <w:pPr>
        <w:pStyle w:val="SectionHead"/>
      </w:pPr>
      <w:bookmarkStart w:id="19" w:name="_Toc170136353"/>
      <w:r w:rsidRPr="00123C17">
        <w:t>Experiential</w:t>
      </w:r>
      <w:bookmarkEnd w:id="19"/>
      <w:r w:rsidRPr="00123C17">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0F492D" w14:paraId="7AB1A3A3"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3754DC2" w14:textId="77777777" w:rsidR="009521E3" w:rsidRPr="00686D2A" w:rsidRDefault="00D97AF7" w:rsidP="00F92CC7">
            <w:pPr>
              <w:pStyle w:val="Tableheadings"/>
            </w:pPr>
            <w:r w:rsidRPr="00686D2A">
              <w:rPr>
                <w:b/>
                <w:bCs/>
              </w:rPr>
              <w:lastRenderedPageBreak/>
              <w:t>Item</w:t>
            </w:r>
          </w:p>
        </w:tc>
        <w:tc>
          <w:tcPr>
            <w:tcW w:w="2126" w:type="dxa"/>
            <w:tcBorders>
              <w:bottom w:val="none" w:sz="0" w:space="0" w:color="auto"/>
            </w:tcBorders>
          </w:tcPr>
          <w:p w14:paraId="6634CCB3" w14:textId="77777777" w:rsidR="009521E3"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7" w:type="dxa"/>
            <w:tcBorders>
              <w:bottom w:val="none" w:sz="0" w:space="0" w:color="auto"/>
            </w:tcBorders>
          </w:tcPr>
          <w:p w14:paraId="129DE096" w14:textId="77777777" w:rsidR="009521E3"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424EE4">
              <w:rPr>
                <w:b/>
                <w:bCs/>
              </w:rPr>
              <w:t xml:space="preserve">Classification </w:t>
            </w:r>
          </w:p>
        </w:tc>
        <w:tc>
          <w:tcPr>
            <w:tcW w:w="5670" w:type="dxa"/>
            <w:tcBorders>
              <w:bottom w:val="none" w:sz="0" w:space="0" w:color="auto"/>
            </w:tcBorders>
          </w:tcPr>
          <w:p w14:paraId="4DBD855A" w14:textId="77777777" w:rsidR="009521E3"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424EE4">
              <w:rPr>
                <w:b/>
                <w:bCs/>
              </w:rPr>
              <w:t>Description</w:t>
            </w:r>
          </w:p>
        </w:tc>
      </w:tr>
      <w:tr w:rsidR="000F492D" w14:paraId="64CDB41B"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BDF8B2B" w14:textId="77777777" w:rsidR="00367812" w:rsidRPr="00203503" w:rsidRDefault="00D97AF7" w:rsidP="00367812">
            <w:pPr>
              <w:spacing w:line="276" w:lineRule="auto"/>
              <w:rPr>
                <w:rFonts w:cs="Arial"/>
                <w:color w:val="747474" w:themeColor="background2" w:themeShade="80"/>
              </w:rPr>
            </w:pPr>
            <w:r>
              <w:rPr>
                <w:rFonts w:cs="Arial"/>
                <w:color w:val="747474" w:themeColor="background2" w:themeShade="80"/>
              </w:rPr>
              <w:t>13.1</w:t>
            </w:r>
          </w:p>
        </w:tc>
        <w:tc>
          <w:tcPr>
            <w:tcW w:w="2126" w:type="dxa"/>
            <w:tcBorders>
              <w:top w:val="none" w:sz="0" w:space="0" w:color="auto"/>
              <w:bottom w:val="none" w:sz="0" w:space="0" w:color="auto"/>
            </w:tcBorders>
          </w:tcPr>
          <w:p w14:paraId="19EABA47" w14:textId="77777777" w:rsidR="00367812" w:rsidRPr="000004F6" w:rsidRDefault="00D97AF7" w:rsidP="00367812">
            <w:pPr>
              <w:pStyle w:val="Subjectcolumntext"/>
              <w:cnfStyle w:val="000000100000" w:firstRow="0" w:lastRow="0" w:firstColumn="0" w:lastColumn="0" w:oddVBand="0" w:evenVBand="0" w:oddHBand="1" w:evenHBand="0" w:firstRowFirstColumn="0" w:firstRowLastColumn="0" w:lastRowFirstColumn="0" w:lastRowLastColumn="0"/>
            </w:pPr>
            <w:r w:rsidRPr="001F7275">
              <w:t>Rules/governance arrangements across sector</w:t>
            </w:r>
            <w:r>
              <w:t>s</w:t>
            </w:r>
            <w:r w:rsidRPr="001F7275">
              <w:t xml:space="preserve"> </w:t>
            </w:r>
            <w:r w:rsidRPr="00E27D4E">
              <w:rPr>
                <w:b w:val="0"/>
                <w:bCs w:val="0"/>
              </w:rPr>
              <w:t>(Live/</w:t>
            </w:r>
            <w:r>
              <w:rPr>
                <w:b w:val="0"/>
                <w:bCs w:val="0"/>
              </w:rPr>
              <w:t>VOD</w:t>
            </w:r>
            <w:r w:rsidRPr="00E27D4E">
              <w:rPr>
                <w:b w:val="0"/>
                <w:bCs w:val="0"/>
              </w:rPr>
              <w:t>/other</w:t>
            </w:r>
            <w:r>
              <w:rPr>
                <w:b w:val="0"/>
                <w:bCs w:val="0"/>
              </w:rPr>
              <w:t xml:space="preserve">; </w:t>
            </w:r>
            <w:r w:rsidRPr="00E27D4E">
              <w:rPr>
                <w:b w:val="0"/>
                <w:bCs w:val="0"/>
              </w:rPr>
              <w:t>arts, entertainment, sports, etc.</w:t>
            </w:r>
            <w:r>
              <w:rPr>
                <w:b w:val="0"/>
                <w:bCs w:val="0"/>
              </w:rPr>
              <w:t>)</w:t>
            </w:r>
          </w:p>
        </w:tc>
        <w:tc>
          <w:tcPr>
            <w:tcW w:w="2127" w:type="dxa"/>
            <w:tcBorders>
              <w:top w:val="none" w:sz="0" w:space="0" w:color="auto"/>
              <w:bottom w:val="none" w:sz="0" w:space="0" w:color="auto"/>
            </w:tcBorders>
          </w:tcPr>
          <w:p w14:paraId="5CF8FE79" w14:textId="77777777" w:rsidR="00367812" w:rsidRPr="00745C48" w:rsidRDefault="00367812" w:rsidP="00367812">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7474923" w14:textId="77777777" w:rsidR="00367812" w:rsidRPr="00367812" w:rsidRDefault="00D97AF7" w:rsidP="00367812">
            <w:pPr>
              <w:cnfStyle w:val="000000100000" w:firstRow="0" w:lastRow="0" w:firstColumn="0" w:lastColumn="0" w:oddVBand="0" w:evenVBand="0" w:oddHBand="1" w:evenHBand="0" w:firstRowFirstColumn="0" w:firstRowLastColumn="0" w:lastRowFirstColumn="0" w:lastRowLastColumn="0"/>
              <w:rPr>
                <w:rFonts w:cs="Arial"/>
              </w:rPr>
            </w:pPr>
            <w:r w:rsidRPr="00367812">
              <w:rPr>
                <w:rStyle w:val="normaltextrun"/>
                <w:rFonts w:eastAsia="Calibri" w:cs="Arial"/>
                <w:color w:val="000000" w:themeColor="text1"/>
              </w:rPr>
              <w:t>In the European Union, the Unfair Commercial Practices Directive (</w:t>
            </w:r>
            <w:hyperlink r:id="rId203" w:history="1">
              <w:r w:rsidRPr="00367812">
                <w:rPr>
                  <w:rStyle w:val="Hyperlink"/>
                  <w:rFonts w:cs="Arial"/>
                  <w:color w:val="0563C1"/>
                </w:rPr>
                <w:t>Directive 2005/29/EC</w:t>
              </w:r>
            </w:hyperlink>
            <w:r w:rsidRPr="00367812">
              <w:rPr>
                <w:rStyle w:val="normaltextrun"/>
                <w:rFonts w:eastAsia="Calibri" w:cs="Arial"/>
                <w:color w:val="000000" w:themeColor="text1"/>
              </w:rPr>
              <w:t>) and the Misleading and Comparative Advertising Directive (</w:t>
            </w:r>
            <w:hyperlink r:id="rId204" w:history="1">
              <w:r w:rsidRPr="00367812">
                <w:rPr>
                  <w:rStyle w:val="Hyperlink"/>
                  <w:rFonts w:cs="Arial"/>
                </w:rPr>
                <w:t>Directive 2006/114/EC</w:t>
              </w:r>
            </w:hyperlink>
            <w:r w:rsidRPr="00367812">
              <w:rPr>
                <w:rStyle w:val="normaltextrun"/>
                <w:rFonts w:eastAsia="Calibri" w:cs="Arial"/>
                <w:color w:val="000000" w:themeColor="text1"/>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367812">
              <w:rPr>
                <w:rStyle w:val="normaltextrun"/>
                <w:rFonts w:eastAsia="Calibri" w:cs="Arial"/>
                <w:b/>
                <w:bCs/>
                <w:color w:val="000000" w:themeColor="text1"/>
              </w:rPr>
              <w:t>6.1</w:t>
            </w:r>
            <w:r w:rsidRPr="00367812">
              <w:rPr>
                <w:rStyle w:val="normaltextrun"/>
                <w:rFonts w:eastAsia="Calibri" w:cs="Arial"/>
                <w:color w:val="000000" w:themeColor="text1"/>
              </w:rPr>
              <w:t>).</w:t>
            </w:r>
          </w:p>
        </w:tc>
      </w:tr>
      <w:tr w:rsidR="000F492D" w14:paraId="4E16B99B"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2835B55" w14:textId="77777777" w:rsidR="00367812" w:rsidRPr="00203503" w:rsidRDefault="00D97AF7" w:rsidP="00367812">
            <w:pPr>
              <w:spacing w:line="276" w:lineRule="auto"/>
              <w:rPr>
                <w:rFonts w:cs="Arial"/>
                <w:color w:val="3A3A3A" w:themeColor="background2" w:themeShade="40"/>
              </w:rPr>
            </w:pPr>
            <w:r>
              <w:rPr>
                <w:rFonts w:cs="Arial"/>
                <w:color w:val="747474" w:themeColor="background2" w:themeShade="80"/>
              </w:rPr>
              <w:t>13.2</w:t>
            </w:r>
          </w:p>
        </w:tc>
        <w:tc>
          <w:tcPr>
            <w:tcW w:w="2126" w:type="dxa"/>
          </w:tcPr>
          <w:p w14:paraId="44539875" w14:textId="77777777" w:rsidR="00367812" w:rsidRDefault="00D97AF7" w:rsidP="00367812">
            <w:pPr>
              <w:pStyle w:val="Subjectcolumntext"/>
              <w:cnfStyle w:val="000000000000" w:firstRow="0" w:lastRow="0" w:firstColumn="0" w:lastColumn="0" w:oddVBand="0" w:evenVBand="0" w:oddHBand="0" w:evenHBand="0" w:firstRowFirstColumn="0" w:firstRowLastColumn="0" w:lastRowFirstColumn="0" w:lastRowLastColumn="0"/>
            </w:pPr>
            <w:r w:rsidRPr="001F7275">
              <w:t>How is branded content described and ordered in governance?</w:t>
            </w:r>
          </w:p>
        </w:tc>
        <w:tc>
          <w:tcPr>
            <w:tcW w:w="2127" w:type="dxa"/>
          </w:tcPr>
          <w:p w14:paraId="560C8C68" w14:textId="77777777" w:rsidR="00367812" w:rsidRDefault="00367812" w:rsidP="00367812">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734BB2" w14:textId="77777777" w:rsidR="00367812" w:rsidRPr="00367812" w:rsidRDefault="00D97AF7" w:rsidP="00367812">
            <w:pPr>
              <w:spacing w:after="160"/>
              <w:cnfStyle w:val="000000000000" w:firstRow="0" w:lastRow="0" w:firstColumn="0" w:lastColumn="0" w:oddVBand="0" w:evenVBand="0" w:oddHBand="0" w:evenHBand="0" w:firstRowFirstColumn="0" w:firstRowLastColumn="0" w:lastRowFirstColumn="0" w:lastRowLastColumn="0"/>
              <w:rPr>
                <w:rStyle w:val="normaltextrun"/>
                <w:rFonts w:eastAsia="Calibri" w:cs="Arial"/>
                <w:color w:val="000000" w:themeColor="text1"/>
              </w:rPr>
            </w:pPr>
            <w:r w:rsidRPr="00367812">
              <w:rPr>
                <w:rStyle w:val="normaltextrun"/>
                <w:rFonts w:eastAsia="Calibri" w:cs="Arial"/>
                <w:color w:val="000000" w:themeColor="text1"/>
              </w:rPr>
              <w:t>The Unfair Commercial Practices Directive (</w:t>
            </w:r>
            <w:hyperlink r:id="rId205" w:history="1">
              <w:r w:rsidRPr="00367812">
                <w:rPr>
                  <w:rStyle w:val="Hyperlink"/>
                  <w:rFonts w:cs="Arial"/>
                  <w:color w:val="0563C1"/>
                </w:rPr>
                <w:t>Directive 2005/29/EC</w:t>
              </w:r>
            </w:hyperlink>
            <w:r w:rsidRPr="00367812">
              <w:rPr>
                <w:rStyle w:val="normaltextrun"/>
                <w:rFonts w:eastAsia="Calibri" w:cs="Arial"/>
                <w:color w:val="000000" w:themeColor="text1"/>
              </w:rPr>
              <w:t>) classifies undisclosed commercial communication as a misleading omission, which is a prohibited practice.</w:t>
            </w:r>
          </w:p>
          <w:p w14:paraId="742BC44D" w14:textId="77777777" w:rsidR="00367812" w:rsidRPr="00367812" w:rsidRDefault="00D97AF7" w:rsidP="00367812">
            <w:pPr>
              <w:cnfStyle w:val="000000000000" w:firstRow="0" w:lastRow="0" w:firstColumn="0" w:lastColumn="0" w:oddVBand="0" w:evenVBand="0" w:oddHBand="0" w:evenHBand="0" w:firstRowFirstColumn="0" w:firstRowLastColumn="0" w:lastRowFirstColumn="0" w:lastRowLastColumn="0"/>
              <w:rPr>
                <w:rFonts w:cs="Arial"/>
              </w:rPr>
            </w:pPr>
            <w:r>
              <w:t>See also 7.2</w:t>
            </w:r>
          </w:p>
        </w:tc>
      </w:tr>
    </w:tbl>
    <w:p w14:paraId="58DB3E0F" w14:textId="77777777" w:rsidR="00454DD4" w:rsidRPr="00123C17" w:rsidRDefault="00D97AF7" w:rsidP="00123C17">
      <w:pPr>
        <w:pStyle w:val="SectionHead"/>
      </w:pPr>
      <w:bookmarkStart w:id="20" w:name="_Toc170136354"/>
      <w:r w:rsidRPr="00123C17">
        <w:t>Other</w:t>
      </w:r>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0F492D" w14:paraId="1B1250ED"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DE89B9D" w14:textId="77777777" w:rsidR="00745D31" w:rsidRPr="00686D2A" w:rsidRDefault="00D97AF7" w:rsidP="00F92CC7">
            <w:pPr>
              <w:pStyle w:val="Tableheadings"/>
            </w:pPr>
            <w:r w:rsidRPr="00686D2A">
              <w:rPr>
                <w:b/>
                <w:bCs/>
              </w:rPr>
              <w:t>Item</w:t>
            </w:r>
          </w:p>
        </w:tc>
        <w:tc>
          <w:tcPr>
            <w:tcW w:w="2126" w:type="dxa"/>
            <w:tcBorders>
              <w:bottom w:val="none" w:sz="0" w:space="0" w:color="auto"/>
            </w:tcBorders>
          </w:tcPr>
          <w:p w14:paraId="0FA6D1E5" w14:textId="77777777" w:rsidR="00745D31"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7" w:type="dxa"/>
            <w:tcBorders>
              <w:bottom w:val="none" w:sz="0" w:space="0" w:color="auto"/>
            </w:tcBorders>
          </w:tcPr>
          <w:p w14:paraId="0DCEFB69" w14:textId="77777777" w:rsidR="00745D31"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424EE4">
              <w:rPr>
                <w:b/>
                <w:bCs/>
              </w:rPr>
              <w:t>Classification</w:t>
            </w:r>
            <w:r w:rsidRPr="00686D2A">
              <w:rPr>
                <w:b/>
                <w:bCs/>
                <w:color w:val="595959" w:themeColor="text1" w:themeTint="A6"/>
              </w:rPr>
              <w:t xml:space="preserve"> </w:t>
            </w:r>
          </w:p>
        </w:tc>
        <w:tc>
          <w:tcPr>
            <w:tcW w:w="5670" w:type="dxa"/>
            <w:tcBorders>
              <w:bottom w:val="none" w:sz="0" w:space="0" w:color="auto"/>
            </w:tcBorders>
          </w:tcPr>
          <w:p w14:paraId="588FADFB" w14:textId="77777777" w:rsidR="00745D31"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424EE4">
              <w:rPr>
                <w:b/>
                <w:bCs/>
              </w:rPr>
              <w:t>Description</w:t>
            </w:r>
          </w:p>
        </w:tc>
      </w:tr>
      <w:tr w:rsidR="000F492D" w14:paraId="66CC366E"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8B7464D" w14:textId="77777777" w:rsidR="00745D31" w:rsidRPr="00203503" w:rsidRDefault="00D97AF7" w:rsidP="00F92CC7">
            <w:pPr>
              <w:spacing w:line="276" w:lineRule="auto"/>
              <w:rPr>
                <w:rFonts w:cs="Arial"/>
                <w:color w:val="747474" w:themeColor="background2" w:themeShade="80"/>
              </w:rPr>
            </w:pPr>
            <w:r>
              <w:rPr>
                <w:rFonts w:cs="Arial"/>
                <w:color w:val="747474" w:themeColor="background2" w:themeShade="80"/>
              </w:rPr>
              <w:t>1</w:t>
            </w:r>
            <w:r w:rsidR="00EE5DED">
              <w:rPr>
                <w:rFonts w:cs="Arial"/>
                <w:color w:val="747474" w:themeColor="background2" w:themeShade="80"/>
              </w:rPr>
              <w:t>4</w:t>
            </w:r>
            <w:r>
              <w:rPr>
                <w:rFonts w:cs="Arial"/>
                <w:color w:val="747474" w:themeColor="background2" w:themeShade="80"/>
              </w:rPr>
              <w:t>.1</w:t>
            </w:r>
          </w:p>
        </w:tc>
        <w:tc>
          <w:tcPr>
            <w:tcW w:w="2126" w:type="dxa"/>
            <w:tcBorders>
              <w:top w:val="none" w:sz="0" w:space="0" w:color="auto"/>
              <w:bottom w:val="none" w:sz="0" w:space="0" w:color="auto"/>
            </w:tcBorders>
          </w:tcPr>
          <w:p w14:paraId="1A10C646" w14:textId="77777777" w:rsidR="00745D31" w:rsidRPr="000004F6"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1F7275">
              <w:t>Rules/governance arrangements across category</w:t>
            </w:r>
          </w:p>
        </w:tc>
        <w:tc>
          <w:tcPr>
            <w:tcW w:w="2127" w:type="dxa"/>
            <w:tcBorders>
              <w:top w:val="none" w:sz="0" w:space="0" w:color="auto"/>
              <w:bottom w:val="none" w:sz="0" w:space="0" w:color="auto"/>
            </w:tcBorders>
          </w:tcPr>
          <w:p w14:paraId="10933E27" w14:textId="77777777" w:rsidR="00745D31" w:rsidRPr="00745C48" w:rsidRDefault="00745D31"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BC42605" w14:textId="77777777" w:rsidR="000B478C" w:rsidRPr="0007002B" w:rsidRDefault="00D97AF7" w:rsidP="00F92CC7">
            <w:pPr>
              <w:spacing w:line="276" w:lineRule="auto"/>
              <w:cnfStyle w:val="000000100000" w:firstRow="0" w:lastRow="0" w:firstColumn="0" w:lastColumn="0" w:oddVBand="0" w:evenVBand="0" w:oddHBand="1" w:evenHBand="0" w:firstRowFirstColumn="0" w:firstRowLastColumn="0" w:lastRowFirstColumn="0" w:lastRowLastColumn="0"/>
              <w:rPr>
                <w:rFonts w:cs="Arial"/>
                <w:b/>
                <w:bCs/>
              </w:rPr>
            </w:pPr>
            <w:r w:rsidRPr="0007002B">
              <w:rPr>
                <w:rFonts w:cs="Arial"/>
                <w:b/>
                <w:bCs/>
              </w:rPr>
              <w:t>Children</w:t>
            </w:r>
          </w:p>
          <w:p w14:paraId="2EF39570" w14:textId="65B4B4A3" w:rsidR="00E00A06" w:rsidRDefault="00D97AF7" w:rsidP="00761F6C">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 xml:space="preserve">In the Spanish context, and from the point of view of a special legal protection, children are individuals who have not yet reached the age of 18 (Law 1/1996, Legal Protection of Minors Act, art. 1). Some specific rules on children and advertisements </w:t>
            </w:r>
            <w:r w:rsidR="00913E51">
              <w:rPr>
                <w:rFonts w:eastAsia="Calibri"/>
                <w:color w:val="000000"/>
              </w:rPr>
              <w:t>include</w:t>
            </w:r>
            <w:r>
              <w:rPr>
                <w:rFonts w:eastAsia="Calibri"/>
                <w:color w:val="000000"/>
              </w:rPr>
              <w:t xml:space="preserve"> the avoidance of images of violence and exploitation in personal relationships, or images reflecting degrading or sexist treatment.</w:t>
            </w:r>
          </w:p>
          <w:p w14:paraId="51B8BAD6" w14:textId="77777777" w:rsidR="00E00A06" w:rsidRDefault="00E00A06" w:rsidP="00761F6C">
            <w:pPr>
              <w:cnfStyle w:val="000000100000" w:firstRow="0" w:lastRow="0" w:firstColumn="0" w:lastColumn="0" w:oddVBand="0" w:evenVBand="0" w:oddHBand="1" w:evenHBand="0" w:firstRowFirstColumn="0" w:firstRowLastColumn="0" w:lastRowFirstColumn="0" w:lastRowLastColumn="0"/>
              <w:rPr>
                <w:rFonts w:eastAsia="Calibri"/>
                <w:color w:val="000000"/>
              </w:rPr>
            </w:pPr>
          </w:p>
          <w:p w14:paraId="36E472B8" w14:textId="1210F0EE" w:rsidR="00761F6C" w:rsidRDefault="00D97AF7" w:rsidP="00761F6C">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The Televisi</w:t>
            </w:r>
            <w:r w:rsidR="00913E51">
              <w:rPr>
                <w:rFonts w:eastAsia="Calibri"/>
                <w:color w:val="000000"/>
              </w:rPr>
              <w:t>o</w:t>
            </w:r>
            <w:r>
              <w:rPr>
                <w:rFonts w:eastAsia="Calibri"/>
                <w:color w:val="000000"/>
              </w:rPr>
              <w:t xml:space="preserve">n Law 25/1994(art. 17.2) </w:t>
            </w:r>
            <w:r w:rsidR="009D1628">
              <w:rPr>
                <w:rFonts w:eastAsia="Calibri"/>
                <w:color w:val="000000"/>
              </w:rPr>
              <w:t>s</w:t>
            </w:r>
            <w:r>
              <w:rPr>
                <w:rFonts w:eastAsia="Calibri"/>
                <w:color w:val="000000"/>
              </w:rPr>
              <w:t>tates that program</w:t>
            </w:r>
            <w:r w:rsidR="009D1628">
              <w:rPr>
                <w:rFonts w:eastAsia="Calibri"/>
                <w:color w:val="000000"/>
              </w:rPr>
              <w:t>me</w:t>
            </w:r>
            <w:r>
              <w:rPr>
                <w:rFonts w:eastAsia="Calibri"/>
                <w:color w:val="000000"/>
              </w:rPr>
              <w:t>s (and advertising) that might affect the physical, mental, or moral development of minors can be broad</w:t>
            </w:r>
            <w:r w:rsidR="009D1628">
              <w:rPr>
                <w:rFonts w:eastAsia="Calibri"/>
                <w:color w:val="000000"/>
              </w:rPr>
              <w:t>c</w:t>
            </w:r>
            <w:r>
              <w:rPr>
                <w:rFonts w:eastAsia="Calibri"/>
                <w:color w:val="000000"/>
              </w:rPr>
              <w:t>ast only between 10:00 p.m. and 6:00 a.m., and they must in</w:t>
            </w:r>
            <w:r w:rsidR="009D1628">
              <w:rPr>
                <w:rFonts w:eastAsia="Calibri"/>
                <w:color w:val="000000"/>
              </w:rPr>
              <w:t>c</w:t>
            </w:r>
            <w:r>
              <w:rPr>
                <w:rFonts w:eastAsia="Calibri"/>
                <w:color w:val="000000"/>
              </w:rPr>
              <w:t>lude warnings about their content through audible and visual</w:t>
            </w:r>
            <w:r w:rsidR="00792AE4">
              <w:rPr>
                <w:rFonts w:eastAsia="Calibri"/>
                <w:color w:val="000000"/>
              </w:rPr>
              <w:t xml:space="preserve"> </w:t>
            </w:r>
            <w:r>
              <w:rPr>
                <w:rFonts w:eastAsia="Calibri"/>
                <w:color w:val="000000"/>
              </w:rPr>
              <w:t>means. The time slot spanning from 5:00 to 8:00 p.m. has special treatment regarding children’s protection: if broad</w:t>
            </w:r>
            <w:r w:rsidR="00B465C0">
              <w:rPr>
                <w:rFonts w:eastAsia="Calibri"/>
                <w:color w:val="000000"/>
              </w:rPr>
              <w:t>c</w:t>
            </w:r>
            <w:r>
              <w:rPr>
                <w:rFonts w:eastAsia="Calibri"/>
                <w:color w:val="000000"/>
              </w:rPr>
              <w:t>asters show content deemed inappropriate for children during this time slot, they must pay a fee to the Ministry of Industry.</w:t>
            </w:r>
          </w:p>
          <w:p w14:paraId="7511C18D" w14:textId="77777777" w:rsidR="00792AE4" w:rsidRDefault="00792AE4" w:rsidP="00761F6C">
            <w:pPr>
              <w:cnfStyle w:val="000000100000" w:firstRow="0" w:lastRow="0" w:firstColumn="0" w:lastColumn="0" w:oddVBand="0" w:evenVBand="0" w:oddHBand="1" w:evenHBand="0" w:firstRowFirstColumn="0" w:firstRowLastColumn="0" w:lastRowFirstColumn="0" w:lastRowLastColumn="0"/>
              <w:rPr>
                <w:rFonts w:eastAsia="Calibri"/>
                <w:color w:val="000000"/>
              </w:rPr>
            </w:pPr>
          </w:p>
          <w:p w14:paraId="453B2DB7" w14:textId="77777777" w:rsidR="00F04B75" w:rsidRDefault="00D97AF7" w:rsidP="00F04B75">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An example of this took place in November 2001. The company Nintendo Spain broad</w:t>
            </w:r>
            <w:r w:rsidR="00B465C0">
              <w:rPr>
                <w:rFonts w:eastAsia="Calibri"/>
                <w:color w:val="000000"/>
              </w:rPr>
              <w:t>c</w:t>
            </w:r>
            <w:r>
              <w:rPr>
                <w:rFonts w:eastAsia="Calibri"/>
                <w:color w:val="000000"/>
              </w:rPr>
              <w:t>ast a TV spot launching a new game. The TV ad showed four adults standing on the deck of a boat playing with the game. When one of the players realized that a female competitor was about to win, he tied a rope around her leg and dragged her across the deck until she fell into</w:t>
            </w:r>
            <w:r w:rsidR="00B413CD">
              <w:rPr>
                <w:rFonts w:eastAsia="Calibri"/>
                <w:color w:val="000000"/>
              </w:rPr>
              <w:t xml:space="preserve"> </w:t>
            </w:r>
            <w:r>
              <w:rPr>
                <w:rFonts w:eastAsia="Calibri"/>
                <w:color w:val="000000"/>
              </w:rPr>
              <w:t xml:space="preserve">the water. </w:t>
            </w:r>
            <w:r w:rsidR="00B413CD">
              <w:rPr>
                <w:rFonts w:eastAsia="Calibri"/>
                <w:color w:val="000000"/>
              </w:rPr>
              <w:t xml:space="preserve">The </w:t>
            </w:r>
            <w:r>
              <w:rPr>
                <w:rFonts w:eastAsia="Calibri"/>
                <w:color w:val="000000"/>
              </w:rPr>
              <w:t xml:space="preserve">following message </w:t>
            </w:r>
            <w:r w:rsidR="00B413CD">
              <w:rPr>
                <w:rFonts w:eastAsia="Calibri"/>
                <w:color w:val="000000"/>
              </w:rPr>
              <w:t xml:space="preserve">then </w:t>
            </w:r>
            <w:r>
              <w:rPr>
                <w:rFonts w:eastAsia="Calibri"/>
                <w:color w:val="000000"/>
              </w:rPr>
              <w:t xml:space="preserve">appeared on the screen, </w:t>
            </w:r>
            <w:r w:rsidR="00B413CD">
              <w:rPr>
                <w:rFonts w:eastAsia="Calibri"/>
                <w:color w:val="000000"/>
              </w:rPr>
              <w:t>‘</w:t>
            </w:r>
            <w:r>
              <w:rPr>
                <w:rFonts w:eastAsia="Calibri"/>
                <w:color w:val="000000"/>
              </w:rPr>
              <w:t>Mario Kart Super Circuit for Game Boy Advance. Four players. No rules</w:t>
            </w:r>
            <w:r w:rsidR="00B413CD">
              <w:rPr>
                <w:rFonts w:eastAsia="Calibri"/>
                <w:color w:val="000000"/>
              </w:rPr>
              <w:t>’.</w:t>
            </w:r>
            <w:r>
              <w:rPr>
                <w:rFonts w:eastAsia="Calibri"/>
                <w:color w:val="000000"/>
              </w:rPr>
              <w:t xml:space="preserve"> </w:t>
            </w:r>
            <w:r>
              <w:rPr>
                <w:rFonts w:eastAsia="Calibri"/>
                <w:color w:val="000000"/>
              </w:rPr>
              <w:lastRenderedPageBreak/>
              <w:t xml:space="preserve">The </w:t>
            </w:r>
            <w:r w:rsidR="00C13DAF">
              <w:rPr>
                <w:rFonts w:eastAsia="Calibri"/>
                <w:color w:val="000000"/>
              </w:rPr>
              <w:t xml:space="preserve">Autocontrol </w:t>
            </w:r>
            <w:r>
              <w:rPr>
                <w:rFonts w:eastAsia="Calibri"/>
                <w:color w:val="000000"/>
              </w:rPr>
              <w:t xml:space="preserve">jury </w:t>
            </w:r>
            <w:r w:rsidR="00C13DAF">
              <w:rPr>
                <w:rFonts w:eastAsia="Calibri"/>
                <w:color w:val="000000"/>
              </w:rPr>
              <w:t xml:space="preserve">upheld the claim by complainants that the </w:t>
            </w:r>
            <w:r>
              <w:rPr>
                <w:rFonts w:eastAsia="Calibri"/>
                <w:color w:val="000000"/>
              </w:rPr>
              <w:t>television ad violated rights and values recognized in the constitution</w:t>
            </w:r>
            <w:r w:rsidR="00C13DAF">
              <w:rPr>
                <w:rFonts w:eastAsia="Calibri"/>
                <w:color w:val="000000"/>
              </w:rPr>
              <w:t xml:space="preserve"> </w:t>
            </w:r>
            <w:r>
              <w:rPr>
                <w:rFonts w:eastAsia="Calibri"/>
                <w:color w:val="000000"/>
              </w:rPr>
              <w:t xml:space="preserve">regarding respect for children and young people. According to the </w:t>
            </w:r>
            <w:r w:rsidR="00C13DAF">
              <w:rPr>
                <w:rFonts w:eastAsia="Calibri"/>
                <w:color w:val="000000"/>
              </w:rPr>
              <w:t>J</w:t>
            </w:r>
            <w:r>
              <w:rPr>
                <w:rFonts w:eastAsia="Calibri"/>
                <w:color w:val="000000"/>
              </w:rPr>
              <w:t xml:space="preserve">ury, children and adolescents might interpret this advertising message in a literal way. Moreover, the use of violent scenes could instigate violence in them by diminishing their social disapproval of violent acts. </w:t>
            </w:r>
          </w:p>
          <w:p w14:paraId="0A55AA1D" w14:textId="77777777" w:rsidR="00F04B75" w:rsidRDefault="00D97AF7" w:rsidP="00F04B75">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The regulation of advertising for children on television is also stricter</w:t>
            </w:r>
            <w:r w:rsidR="00264EDC">
              <w:rPr>
                <w:rFonts w:eastAsia="Calibri"/>
                <w:color w:val="000000"/>
              </w:rPr>
              <w:t xml:space="preserve"> than for other media</w:t>
            </w:r>
            <w:r>
              <w:rPr>
                <w:rFonts w:eastAsia="Calibri"/>
                <w:color w:val="000000"/>
              </w:rPr>
              <w:t>. Ads directed to children must always avoid the exploitation of their naivety, immaturity, or natural gullibility; they must not take advantage of children’s sense of loyalty; and they must not contain statements or visual</w:t>
            </w:r>
            <w:r w:rsidR="00264EDC">
              <w:rPr>
                <w:rFonts w:eastAsia="Calibri"/>
                <w:color w:val="000000"/>
              </w:rPr>
              <w:t xml:space="preserve"> </w:t>
            </w:r>
            <w:r>
              <w:rPr>
                <w:rFonts w:eastAsia="Calibri"/>
                <w:color w:val="000000"/>
              </w:rPr>
              <w:t xml:space="preserve">representations that might result in mental, moral, or physical harm among young viewers. </w:t>
            </w:r>
          </w:p>
          <w:p w14:paraId="136BCBD7" w14:textId="77777777" w:rsidR="00264EDC" w:rsidRDefault="00264EDC" w:rsidP="00F04B75">
            <w:pPr>
              <w:cnfStyle w:val="000000100000" w:firstRow="0" w:lastRow="0" w:firstColumn="0" w:lastColumn="0" w:oddVBand="0" w:evenVBand="0" w:oddHBand="1" w:evenHBand="0" w:firstRowFirstColumn="0" w:firstRowLastColumn="0" w:lastRowFirstColumn="0" w:lastRowLastColumn="0"/>
              <w:rPr>
                <w:rFonts w:eastAsia="Calibri"/>
                <w:color w:val="000000"/>
              </w:rPr>
            </w:pPr>
          </w:p>
          <w:p w14:paraId="2977BE84" w14:textId="2EF79BE0" w:rsidR="00F04B75" w:rsidRDefault="00D97AF7" w:rsidP="00F04B75">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Commercials must not instigate the purchase of a Service or product or exploit the special confidence of children in their parents, guardians, or other persons; they cannot show children in dangerous situations, and children’s programs cannot be interrupted by commercials unless the program is longer than 30 minutes (Television Law 25/1994).</w:t>
            </w:r>
          </w:p>
          <w:p w14:paraId="71D48566" w14:textId="77777777" w:rsidR="00264EDC" w:rsidRDefault="00264EDC" w:rsidP="00F04B75">
            <w:pPr>
              <w:cnfStyle w:val="000000100000" w:firstRow="0" w:lastRow="0" w:firstColumn="0" w:lastColumn="0" w:oddVBand="0" w:evenVBand="0" w:oddHBand="1" w:evenHBand="0" w:firstRowFirstColumn="0" w:firstRowLastColumn="0" w:lastRowFirstColumn="0" w:lastRowLastColumn="0"/>
              <w:rPr>
                <w:rFonts w:eastAsia="Calibri"/>
                <w:color w:val="000000"/>
              </w:rPr>
            </w:pPr>
          </w:p>
          <w:p w14:paraId="010E83C8" w14:textId="2F361DFA" w:rsidR="00F04B75" w:rsidRDefault="00D97AF7" w:rsidP="00F04B75">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 xml:space="preserve">There are also very specific norms regarding the making of ads featuring children: (1) Small children must not be shown with toys that are not suitable for their age and are only safe for older children; (2) when products or activities can be dangerous to their safety, children must not be shown using them or engaging in those activities without adult </w:t>
            </w:r>
            <w:r w:rsidR="00913E51">
              <w:rPr>
                <w:rFonts w:eastAsia="Calibri"/>
                <w:color w:val="000000"/>
              </w:rPr>
              <w:t>supervision</w:t>
            </w:r>
            <w:r>
              <w:rPr>
                <w:rFonts w:eastAsia="Calibri"/>
                <w:color w:val="000000"/>
              </w:rPr>
              <w:t>; (3) advertisements must not</w:t>
            </w:r>
          </w:p>
          <w:p w14:paraId="24E24E86" w14:textId="77777777" w:rsidR="00F04B75" w:rsidRDefault="00D97AF7" w:rsidP="00F04B75">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portray children in unsafe situations or in activities that are harmful to them or others; (4) advertisements must avoid messages or representations that encourage the dangerous or inappropriate use of a product; and (5) children must not be used to give testimony about a product or Service.</w:t>
            </w:r>
          </w:p>
          <w:p w14:paraId="18EB2D5F" w14:textId="77777777" w:rsidR="00264EDC" w:rsidRDefault="00264EDC" w:rsidP="00F04B75">
            <w:pPr>
              <w:cnfStyle w:val="000000100000" w:firstRow="0" w:lastRow="0" w:firstColumn="0" w:lastColumn="0" w:oddVBand="0" w:evenVBand="0" w:oddHBand="1" w:evenHBand="0" w:firstRowFirstColumn="0" w:firstRowLastColumn="0" w:lastRowFirstColumn="0" w:lastRowLastColumn="0"/>
              <w:rPr>
                <w:rFonts w:eastAsia="Calibri"/>
                <w:color w:val="000000"/>
              </w:rPr>
            </w:pPr>
          </w:p>
          <w:p w14:paraId="11384774" w14:textId="4A28C714" w:rsidR="00792AE4" w:rsidRDefault="00D97AF7" w:rsidP="00264EDC">
            <w:pPr>
              <w:cnfStyle w:val="000000100000" w:firstRow="0" w:lastRow="0" w:firstColumn="0" w:lastColumn="0" w:oddVBand="0" w:evenVBand="0" w:oddHBand="1" w:evenHBand="0" w:firstRowFirstColumn="0" w:firstRowLastColumn="0" w:lastRowFirstColumn="0" w:lastRowLastColumn="0"/>
              <w:rPr>
                <w:rFonts w:eastAsia="Calibri"/>
                <w:color w:val="000000"/>
              </w:rPr>
            </w:pPr>
            <w:r>
              <w:rPr>
                <w:rFonts w:eastAsia="Calibri"/>
                <w:color w:val="000000"/>
              </w:rPr>
              <w:t>Additionally, advertisements for toys cannot contain inaccurate information regarding the characteristics or safety of the product, nor may they contain any misleading information regarding its safe use by children. When advertising games for children, advertisers must not give unrealistic expectations of the possibilities of winning a prize. Prizes and possibilities of winning must be clearly indicated</w:t>
            </w:r>
            <w:r w:rsidR="00913E51">
              <w:rPr>
                <w:rFonts w:eastAsia="Calibri"/>
                <w:color w:val="000000"/>
              </w:rPr>
              <w:t>,</w:t>
            </w:r>
            <w:r>
              <w:rPr>
                <w:rFonts w:eastAsia="Calibri"/>
                <w:color w:val="000000"/>
              </w:rPr>
              <w:t xml:space="preserve"> and all prizes must be appropriate for children.</w:t>
            </w:r>
          </w:p>
          <w:p w14:paraId="3719F63C" w14:textId="77777777" w:rsidR="00264EDC" w:rsidRPr="00264EDC" w:rsidRDefault="00264EDC" w:rsidP="00264EDC">
            <w:pPr>
              <w:cnfStyle w:val="000000100000" w:firstRow="0" w:lastRow="0" w:firstColumn="0" w:lastColumn="0" w:oddVBand="0" w:evenVBand="0" w:oddHBand="1" w:evenHBand="0" w:firstRowFirstColumn="0" w:firstRowLastColumn="0" w:lastRowFirstColumn="0" w:lastRowLastColumn="0"/>
              <w:rPr>
                <w:rFonts w:eastAsia="Calibri"/>
                <w:color w:val="000000"/>
              </w:rPr>
            </w:pPr>
          </w:p>
          <w:p w14:paraId="7A0829C2" w14:textId="77777777" w:rsidR="00792AE4" w:rsidRDefault="00D97AF7" w:rsidP="00264EDC">
            <w:pPr>
              <w:cnfStyle w:val="000000100000" w:firstRow="0" w:lastRow="0" w:firstColumn="0" w:lastColumn="0" w:oddVBand="0" w:evenVBand="0" w:oddHBand="1" w:evenHBand="0" w:firstRowFirstColumn="0" w:firstRowLastColumn="0" w:lastRowFirstColumn="0" w:lastRowLastColumn="0"/>
              <w:rPr>
                <w:color w:val="000000" w:themeColor="text1"/>
              </w:rPr>
            </w:pPr>
            <w:r w:rsidRPr="009D1628">
              <w:rPr>
                <w:color w:val="000000" w:themeColor="text1"/>
              </w:rPr>
              <w:t xml:space="preserve">The </w:t>
            </w:r>
            <w:r w:rsidR="00264EDC">
              <w:rPr>
                <w:color w:val="000000" w:themeColor="text1"/>
              </w:rPr>
              <w:t xml:space="preserve">2022 </w:t>
            </w:r>
            <w:r w:rsidRPr="009D1628">
              <w:rPr>
                <w:color w:val="000000" w:themeColor="text1"/>
              </w:rPr>
              <w:t xml:space="preserve">General Law on Audiovisual Communication </w:t>
            </w:r>
            <w:r w:rsidR="00264EDC">
              <w:rPr>
                <w:color w:val="000000" w:themeColor="text1"/>
              </w:rPr>
              <w:t xml:space="preserve">(LGCA) </w:t>
            </w:r>
            <w:r w:rsidRPr="009D1628">
              <w:rPr>
                <w:color w:val="000000" w:themeColor="text1"/>
              </w:rPr>
              <w:t>also establishes a series of obligations to protect minors from audiovisual communications.</w:t>
            </w:r>
            <w:r w:rsidR="00264EDC">
              <w:rPr>
                <w:color w:val="000000" w:themeColor="text1"/>
              </w:rPr>
              <w:t xml:space="preserve"> Article </w:t>
            </w:r>
            <w:r w:rsidRPr="009D1628">
              <w:rPr>
                <w:color w:val="000000" w:themeColor="text1"/>
              </w:rPr>
              <w:t>15 indicates that the audiovisual authority will promote self-</w:t>
            </w:r>
            <w:r w:rsidRPr="009D1628">
              <w:rPr>
                <w:color w:val="000000" w:themeColor="text1"/>
              </w:rPr>
              <w:lastRenderedPageBreak/>
              <w:t>regulation and co-regulation Codes of Conduct, which must promote (among other aspects) the protection of minors from exposure to audiovisual commercial communications related to the promotion of games of chance.</w:t>
            </w:r>
            <w:r w:rsidR="00264EDC">
              <w:rPr>
                <w:color w:val="000000" w:themeColor="text1"/>
              </w:rPr>
              <w:t xml:space="preserve"> </w:t>
            </w:r>
            <w:r w:rsidRPr="009D1628">
              <w:rPr>
                <w:color w:val="000000" w:themeColor="text1"/>
              </w:rPr>
              <w:t xml:space="preserve">More specifically, </w:t>
            </w:r>
            <w:r w:rsidR="00264EDC">
              <w:rPr>
                <w:color w:val="000000" w:themeColor="text1"/>
              </w:rPr>
              <w:t>A</w:t>
            </w:r>
            <w:r w:rsidRPr="009D1628">
              <w:rPr>
                <w:color w:val="000000" w:themeColor="text1"/>
              </w:rPr>
              <w:t>rticles 83, 88 and 89 establish the requirements and obligations that service providers must comply with to guarantee the protection of minors, establishing time slots to broadcast programs of gambling activities. and betting, and programs related to esotericism and</w:t>
            </w:r>
            <w:r w:rsidR="009D1628" w:rsidRPr="009D1628">
              <w:rPr>
                <w:color w:val="000000" w:themeColor="text1"/>
              </w:rPr>
              <w:t xml:space="preserve"> para-sciences to avoid underage audiences. Providers are also required to take measures to protect minors from programs and videos that harm their physical, mental and moral development; and article 90 requires the obligation to guarantee that the personal data of minor users of the platforms that have been collected by the providers will not be processed for commercial purposes.</w:t>
            </w:r>
            <w:r w:rsidR="009D1628" w:rsidRPr="005D6696">
              <w:rPr>
                <w:color w:val="E97132" w:themeColor="accent2"/>
              </w:rPr>
              <w:br/>
            </w:r>
          </w:p>
          <w:p w14:paraId="2636E46D" w14:textId="77777777" w:rsidR="0007002B" w:rsidRPr="0007002B" w:rsidRDefault="00D97AF7" w:rsidP="0007002B">
            <w:pP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rPr>
            </w:pPr>
            <w:r w:rsidRPr="0007002B">
              <w:rPr>
                <w:rFonts w:eastAsia="Calibri" w:cs="Arial"/>
                <w:color w:val="000000" w:themeColor="text1"/>
              </w:rPr>
              <w:t>Other Spanish laws that also provide special protection for minors and their moral, physical, and psychological development include the following ones:</w:t>
            </w:r>
          </w:p>
          <w:p w14:paraId="22E5E145" w14:textId="77777777" w:rsidR="0007002B" w:rsidRPr="0007002B" w:rsidRDefault="00D97AF7" w:rsidP="0007002B">
            <w:pPr>
              <w:cnfStyle w:val="000000100000" w:firstRow="0" w:lastRow="0" w:firstColumn="0" w:lastColumn="0" w:oddVBand="0" w:evenVBand="0" w:oddHBand="1" w:evenHBand="0" w:firstRowFirstColumn="0" w:firstRowLastColumn="0" w:lastRowFirstColumn="0" w:lastRowLastColumn="0"/>
              <w:rPr>
                <w:rFonts w:cs="Arial"/>
                <w:color w:val="000000" w:themeColor="text1"/>
                <w:lang w:val="en-US"/>
              </w:rPr>
            </w:pPr>
            <w:r w:rsidRPr="0007002B">
              <w:rPr>
                <w:rFonts w:cs="Arial"/>
                <w:color w:val="000000" w:themeColor="text1"/>
                <w:lang w:val="en-US"/>
              </w:rPr>
              <w:t>General Advertising Law 34/1988</w:t>
            </w:r>
          </w:p>
          <w:p w14:paraId="67FFEC54" w14:textId="77777777" w:rsidR="0007002B" w:rsidRPr="0007002B" w:rsidRDefault="00D97AF7" w:rsidP="0007002B">
            <w:pPr>
              <w:cnfStyle w:val="000000100000" w:firstRow="0" w:lastRow="0" w:firstColumn="0" w:lastColumn="0" w:oddVBand="0" w:evenVBand="0" w:oddHBand="1" w:evenHBand="0" w:firstRowFirstColumn="0" w:firstRowLastColumn="0" w:lastRowFirstColumn="0" w:lastRowLastColumn="0"/>
              <w:rPr>
                <w:rFonts w:cs="Arial"/>
                <w:color w:val="000000" w:themeColor="text1"/>
                <w:lang w:val="en-US"/>
              </w:rPr>
            </w:pPr>
            <w:r w:rsidRPr="0007002B">
              <w:rPr>
                <w:rFonts w:cs="Arial"/>
                <w:color w:val="000000" w:themeColor="text1"/>
                <w:lang w:val="en-US"/>
              </w:rPr>
              <w:t>Information Society Services and Electronic Commerce Law 34/2002 (LSSI) (BOE, 2002)</w:t>
            </w:r>
          </w:p>
          <w:p w14:paraId="601A51AB" w14:textId="77777777" w:rsidR="0007002B" w:rsidRPr="0007002B" w:rsidRDefault="00D97AF7" w:rsidP="0007002B">
            <w:pPr>
              <w:cnfStyle w:val="000000100000" w:firstRow="0" w:lastRow="0" w:firstColumn="0" w:lastColumn="0" w:oddVBand="0" w:evenVBand="0" w:oddHBand="1" w:evenHBand="0" w:firstRowFirstColumn="0" w:firstRowLastColumn="0" w:lastRowFirstColumn="0" w:lastRowLastColumn="0"/>
              <w:rPr>
                <w:rFonts w:cs="Arial"/>
                <w:color w:val="000000" w:themeColor="text1"/>
                <w:lang w:val="en-US"/>
              </w:rPr>
            </w:pPr>
            <w:r w:rsidRPr="0007002B">
              <w:rPr>
                <w:rFonts w:cs="Arial"/>
                <w:color w:val="000000" w:themeColor="text1"/>
                <w:lang w:val="en-US"/>
              </w:rPr>
              <w:t>Protection of Personal Data and Guarantee of Digital Rights Law 3/2018 (LOPDGDD) (BOE, 2018)</w:t>
            </w:r>
          </w:p>
          <w:p w14:paraId="6CBBF053" w14:textId="77777777" w:rsidR="0007002B" w:rsidRPr="0007002B" w:rsidRDefault="00D97AF7" w:rsidP="0007002B">
            <w:pPr>
              <w:cnfStyle w:val="000000100000" w:firstRow="0" w:lastRow="0" w:firstColumn="0" w:lastColumn="0" w:oddVBand="0" w:evenVBand="0" w:oddHBand="1" w:evenHBand="0" w:firstRowFirstColumn="0" w:firstRowLastColumn="0" w:lastRowFirstColumn="0" w:lastRowLastColumn="0"/>
              <w:rPr>
                <w:rFonts w:cs="Arial"/>
                <w:color w:val="000000" w:themeColor="text1"/>
                <w:lang w:val="en-US"/>
              </w:rPr>
            </w:pPr>
            <w:r w:rsidRPr="0007002B">
              <w:rPr>
                <w:rFonts w:cs="Arial"/>
                <w:color w:val="000000" w:themeColor="text1"/>
                <w:lang w:val="en-US"/>
              </w:rPr>
              <w:t>Comprehensive protection of children and adolescents from violence Law 8/2021 (LOPIVI) (BOE, 2021)</w:t>
            </w:r>
          </w:p>
          <w:p w14:paraId="00FF8CE1" w14:textId="77777777" w:rsidR="0007002B" w:rsidRPr="00264EDC" w:rsidRDefault="00D97AF7" w:rsidP="0007002B">
            <w:pPr>
              <w:cnfStyle w:val="000000100000" w:firstRow="0" w:lastRow="0" w:firstColumn="0" w:lastColumn="0" w:oddVBand="0" w:evenVBand="0" w:oddHBand="1" w:evenHBand="0" w:firstRowFirstColumn="0" w:firstRowLastColumn="0" w:lastRowFirstColumn="0" w:lastRowLastColumn="0"/>
              <w:rPr>
                <w:color w:val="000000" w:themeColor="text1"/>
              </w:rPr>
            </w:pPr>
            <w:r w:rsidRPr="0007002B">
              <w:rPr>
                <w:rFonts w:cs="Arial"/>
                <w:color w:val="000000" w:themeColor="text1"/>
              </w:rPr>
              <w:t>Audiovisual Communications Law 13/2022 (GLAC) (</w:t>
            </w:r>
            <w:hyperlink r:id="rId206" w:history="1">
              <w:r w:rsidRPr="0007002B">
                <w:rPr>
                  <w:rStyle w:val="Hyperlink"/>
                  <w:rFonts w:cs="Arial"/>
                  <w:color w:val="000000" w:themeColor="text1"/>
                </w:rPr>
                <w:t>BOE, 2022a</w:t>
              </w:r>
            </w:hyperlink>
            <w:r w:rsidRPr="0007002B">
              <w:rPr>
                <w:rFonts w:cs="Arial"/>
                <w:color w:val="000000" w:themeColor="text1"/>
              </w:rPr>
              <w:t>)</w:t>
            </w:r>
            <w:r w:rsidRPr="0007002B">
              <w:rPr>
                <w:rFonts w:cs="Arial"/>
                <w:color w:val="000000" w:themeColor="text1"/>
              </w:rPr>
              <w:br/>
            </w:r>
          </w:p>
        </w:tc>
      </w:tr>
      <w:tr w:rsidR="000F492D" w14:paraId="0A49AAE8"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350F79F" w14:textId="77777777" w:rsidR="00745D31" w:rsidRPr="00203503" w:rsidRDefault="00D97AF7" w:rsidP="00F92CC7">
            <w:pPr>
              <w:spacing w:line="276" w:lineRule="auto"/>
              <w:rPr>
                <w:rFonts w:cs="Arial"/>
                <w:color w:val="3A3A3A" w:themeColor="background2" w:themeShade="40"/>
              </w:rPr>
            </w:pPr>
            <w:r>
              <w:rPr>
                <w:rFonts w:cs="Arial"/>
                <w:color w:val="747474" w:themeColor="background2" w:themeShade="80"/>
              </w:rPr>
              <w:lastRenderedPageBreak/>
              <w:t>1</w:t>
            </w:r>
            <w:r w:rsidR="00EE5DED">
              <w:rPr>
                <w:rFonts w:cs="Arial"/>
                <w:color w:val="747474" w:themeColor="background2" w:themeShade="80"/>
              </w:rPr>
              <w:t>4</w:t>
            </w:r>
            <w:r>
              <w:rPr>
                <w:rFonts w:cs="Arial"/>
                <w:color w:val="747474" w:themeColor="background2" w:themeShade="80"/>
              </w:rPr>
              <w:t>.2</w:t>
            </w:r>
          </w:p>
        </w:tc>
        <w:tc>
          <w:tcPr>
            <w:tcW w:w="2126" w:type="dxa"/>
          </w:tcPr>
          <w:p w14:paraId="14387604" w14:textId="77777777" w:rsidR="00745D31"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275162">
              <w:t xml:space="preserve">How is </w:t>
            </w:r>
            <w:r>
              <w:t xml:space="preserve">branded </w:t>
            </w:r>
            <w:r w:rsidRPr="00275162">
              <w:t>content described and ordered in governance?</w:t>
            </w:r>
          </w:p>
        </w:tc>
        <w:tc>
          <w:tcPr>
            <w:tcW w:w="2127" w:type="dxa"/>
          </w:tcPr>
          <w:p w14:paraId="55143678" w14:textId="77777777" w:rsidR="00745D31" w:rsidRDefault="00745D31"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37A6A38" w14:textId="77777777" w:rsidR="00745D31" w:rsidRDefault="00745D31" w:rsidP="00F92CC7">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bl>
    <w:p w14:paraId="472E4179" w14:textId="77777777" w:rsidR="009553F2" w:rsidRPr="009553F2" w:rsidRDefault="00D97AF7" w:rsidP="009553F2">
      <w:pPr>
        <w:pStyle w:val="SectionHead"/>
        <w:rPr>
          <w:iCs w:val="0"/>
        </w:rPr>
      </w:pPr>
      <w:bookmarkStart w:id="21" w:name="_Toc170136355"/>
      <w:r w:rsidRPr="009553F2">
        <w:rPr>
          <w:iCs w:val="0"/>
        </w:rPr>
        <w:t>Convergence</w:t>
      </w:r>
      <w:r>
        <w:rPr>
          <w:iCs w:val="0"/>
        </w:rPr>
        <w:br/>
      </w:r>
      <w:r w:rsidRPr="00566A9E">
        <w:rPr>
          <w:iCs w:val="0"/>
          <w:highlight w:val="lightGray"/>
        </w:rPr>
        <w:t>This section will be completed in 2024-2025 for publication at the end of the BCG Project in 2025</w:t>
      </w:r>
      <w:bookmarkEnd w:id="2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0F492D" w14:paraId="5A92D0F8"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5492ABD4" w14:textId="77777777" w:rsidR="0061668B" w:rsidRPr="00686D2A" w:rsidRDefault="00D97AF7" w:rsidP="00F92CC7">
            <w:pPr>
              <w:pStyle w:val="Tableheadings"/>
            </w:pPr>
            <w:r w:rsidRPr="00686D2A">
              <w:rPr>
                <w:b/>
                <w:bCs/>
              </w:rPr>
              <w:t>Item</w:t>
            </w:r>
          </w:p>
        </w:tc>
        <w:tc>
          <w:tcPr>
            <w:tcW w:w="2143" w:type="dxa"/>
            <w:tcBorders>
              <w:bottom w:val="none" w:sz="0" w:space="0" w:color="auto"/>
            </w:tcBorders>
          </w:tcPr>
          <w:p w14:paraId="19D6BAEF" w14:textId="77777777" w:rsidR="0061668B"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5" w:type="dxa"/>
            <w:tcBorders>
              <w:bottom w:val="none" w:sz="0" w:space="0" w:color="auto"/>
            </w:tcBorders>
          </w:tcPr>
          <w:p w14:paraId="5DCE3146" w14:textId="77777777" w:rsidR="0061668B"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424EE4">
              <w:rPr>
                <w:b/>
                <w:bCs/>
              </w:rPr>
              <w:t>Classification</w:t>
            </w:r>
            <w:r w:rsidRPr="00686D2A">
              <w:rPr>
                <w:b/>
                <w:bCs/>
                <w:color w:val="595959" w:themeColor="text1" w:themeTint="A6"/>
              </w:rPr>
              <w:t xml:space="preserve"> </w:t>
            </w:r>
          </w:p>
        </w:tc>
        <w:tc>
          <w:tcPr>
            <w:tcW w:w="5656" w:type="dxa"/>
            <w:tcBorders>
              <w:bottom w:val="none" w:sz="0" w:space="0" w:color="auto"/>
            </w:tcBorders>
          </w:tcPr>
          <w:p w14:paraId="4A452B16" w14:textId="77777777" w:rsidR="0061668B"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424EE4">
              <w:rPr>
                <w:b/>
                <w:bCs/>
              </w:rPr>
              <w:t>Description</w:t>
            </w:r>
          </w:p>
        </w:tc>
      </w:tr>
      <w:tr w:rsidR="000F492D" w14:paraId="2E44F10A"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4D679C19" w14:textId="77777777" w:rsidR="0061668B" w:rsidRPr="00203503" w:rsidRDefault="00D97AF7" w:rsidP="00F92CC7">
            <w:pPr>
              <w:spacing w:line="276" w:lineRule="auto"/>
              <w:rPr>
                <w:rFonts w:cs="Arial"/>
                <w:color w:val="747474" w:themeColor="background2" w:themeShade="80"/>
              </w:rPr>
            </w:pPr>
            <w:r>
              <w:rPr>
                <w:rFonts w:cs="Arial"/>
                <w:color w:val="747474" w:themeColor="background2" w:themeShade="80"/>
              </w:rPr>
              <w:t>1</w:t>
            </w:r>
            <w:r w:rsidR="006E0408">
              <w:rPr>
                <w:rFonts w:cs="Arial"/>
                <w:color w:val="747474" w:themeColor="background2" w:themeShade="80"/>
              </w:rPr>
              <w:t>5</w:t>
            </w:r>
            <w:r>
              <w:rPr>
                <w:rFonts w:cs="Arial"/>
                <w:color w:val="747474" w:themeColor="background2" w:themeShade="80"/>
              </w:rPr>
              <w:t>.1</w:t>
            </w:r>
          </w:p>
        </w:tc>
        <w:tc>
          <w:tcPr>
            <w:tcW w:w="2143" w:type="dxa"/>
            <w:tcBorders>
              <w:top w:val="none" w:sz="0" w:space="0" w:color="auto"/>
              <w:bottom w:val="none" w:sz="0" w:space="0" w:color="auto"/>
            </w:tcBorders>
          </w:tcPr>
          <w:p w14:paraId="1ADC5B67" w14:textId="77777777" w:rsidR="0061668B" w:rsidRPr="000004F6"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BE0FAA">
              <w:t>Does a single regulatory authority oversee more than one of 6-14 above? Which?</w:t>
            </w:r>
          </w:p>
        </w:tc>
        <w:tc>
          <w:tcPr>
            <w:tcW w:w="2125" w:type="dxa"/>
            <w:tcBorders>
              <w:top w:val="none" w:sz="0" w:space="0" w:color="auto"/>
              <w:bottom w:val="none" w:sz="0" w:space="0" w:color="auto"/>
            </w:tcBorders>
          </w:tcPr>
          <w:p w14:paraId="12AB3C9D" w14:textId="77777777" w:rsidR="0061668B" w:rsidRPr="00745C48" w:rsidRDefault="0061668B"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40FD5E" w14:textId="77777777" w:rsidR="0061668B" w:rsidRPr="0016559B" w:rsidRDefault="0061668B" w:rsidP="00F92CC7">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43A28832"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25DFEA12" w14:textId="77777777" w:rsidR="0061668B" w:rsidRPr="00203503" w:rsidRDefault="00D97AF7" w:rsidP="00F92CC7">
            <w:pPr>
              <w:spacing w:line="276" w:lineRule="auto"/>
              <w:rPr>
                <w:rFonts w:cs="Arial"/>
                <w:color w:val="3A3A3A" w:themeColor="background2" w:themeShade="40"/>
              </w:rPr>
            </w:pPr>
            <w:r>
              <w:rPr>
                <w:rFonts w:cs="Arial"/>
                <w:color w:val="747474" w:themeColor="background2" w:themeShade="80"/>
              </w:rPr>
              <w:lastRenderedPageBreak/>
              <w:t>1</w:t>
            </w:r>
            <w:r w:rsidR="006E0408">
              <w:rPr>
                <w:rFonts w:cs="Arial"/>
                <w:color w:val="747474" w:themeColor="background2" w:themeShade="80"/>
              </w:rPr>
              <w:t>5</w:t>
            </w:r>
            <w:r>
              <w:rPr>
                <w:rFonts w:cs="Arial"/>
                <w:color w:val="747474" w:themeColor="background2" w:themeShade="80"/>
              </w:rPr>
              <w:t>.2</w:t>
            </w:r>
          </w:p>
        </w:tc>
        <w:tc>
          <w:tcPr>
            <w:tcW w:w="2143" w:type="dxa"/>
          </w:tcPr>
          <w:p w14:paraId="1A237B6D" w14:textId="77777777" w:rsidR="0061668B"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BE0FAA">
              <w:t>Does a single SRO oversee more than one of 6-16 above? Which?</w:t>
            </w:r>
          </w:p>
        </w:tc>
        <w:tc>
          <w:tcPr>
            <w:tcW w:w="2125" w:type="dxa"/>
          </w:tcPr>
          <w:p w14:paraId="5E42B1A1" w14:textId="77777777" w:rsidR="0061668B" w:rsidRDefault="0061668B"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3FA54DB2" w14:textId="77777777" w:rsidR="0061668B" w:rsidRDefault="0061668B" w:rsidP="00F92CC7">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0F492D" w14:paraId="09730C95"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4D4FBA88" w14:textId="77777777" w:rsidR="006E0408" w:rsidRDefault="00D97AF7" w:rsidP="00F92CC7">
            <w:pPr>
              <w:spacing w:line="276" w:lineRule="auto"/>
              <w:rPr>
                <w:rFonts w:cs="Arial"/>
                <w:color w:val="747474" w:themeColor="background2" w:themeShade="80"/>
              </w:rPr>
            </w:pPr>
            <w:r>
              <w:rPr>
                <w:rFonts w:cs="Arial"/>
                <w:color w:val="747474" w:themeColor="background2" w:themeShade="80"/>
              </w:rPr>
              <w:t>15.3</w:t>
            </w:r>
          </w:p>
        </w:tc>
        <w:tc>
          <w:tcPr>
            <w:tcW w:w="2143" w:type="dxa"/>
          </w:tcPr>
          <w:p w14:paraId="06B3E17B" w14:textId="77777777" w:rsidR="006E0408" w:rsidRPr="00D60778"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D60778">
              <w:t>Is there cross-platform BC governance?</w:t>
            </w:r>
          </w:p>
        </w:tc>
        <w:tc>
          <w:tcPr>
            <w:tcW w:w="2125" w:type="dxa"/>
          </w:tcPr>
          <w:p w14:paraId="3DDDD8A4" w14:textId="77777777" w:rsidR="006E0408" w:rsidRDefault="006E0408"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2CCE4D2" w14:textId="77777777" w:rsidR="006E0408" w:rsidRDefault="006E0408" w:rsidP="00F92CC7">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3A151FBA"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DB65DC4" w14:textId="77777777" w:rsidR="006E0408" w:rsidRPr="00AC3478" w:rsidRDefault="00D97AF7" w:rsidP="00F92CC7">
            <w:pPr>
              <w:spacing w:line="276" w:lineRule="auto"/>
              <w:rPr>
                <w:rFonts w:cs="Arial"/>
                <w:color w:val="747474" w:themeColor="background2" w:themeShade="80"/>
              </w:rPr>
            </w:pPr>
            <w:r w:rsidRPr="00AC3478">
              <w:rPr>
                <w:rFonts w:cs="Arial"/>
                <w:color w:val="747474" w:themeColor="background2" w:themeShade="80"/>
              </w:rPr>
              <w:t>15.4</w:t>
            </w:r>
          </w:p>
        </w:tc>
        <w:tc>
          <w:tcPr>
            <w:tcW w:w="2143" w:type="dxa"/>
          </w:tcPr>
          <w:p w14:paraId="7837E40F" w14:textId="77777777" w:rsidR="006E0408" w:rsidRPr="00AC3478"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AC3478">
              <w:t>Is there technology/platform neutral BC governance?</w:t>
            </w:r>
          </w:p>
        </w:tc>
        <w:tc>
          <w:tcPr>
            <w:tcW w:w="2125" w:type="dxa"/>
          </w:tcPr>
          <w:p w14:paraId="1335096D" w14:textId="77777777" w:rsidR="006E0408" w:rsidRDefault="006E0408"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4B7611A" w14:textId="77777777" w:rsidR="006E0408" w:rsidRDefault="006E0408" w:rsidP="00F92CC7">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0F492D" w14:paraId="539EBF55"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76EF105" w14:textId="77777777" w:rsidR="006E0408" w:rsidRPr="00AC3478" w:rsidRDefault="00D97AF7" w:rsidP="00F92CC7">
            <w:pPr>
              <w:spacing w:line="276" w:lineRule="auto"/>
              <w:rPr>
                <w:rFonts w:cs="Arial"/>
                <w:color w:val="747474" w:themeColor="background2" w:themeShade="80"/>
              </w:rPr>
            </w:pPr>
            <w:r w:rsidRPr="00AC3478">
              <w:rPr>
                <w:rFonts w:cs="Arial"/>
                <w:color w:val="747474" w:themeColor="background2" w:themeShade="80"/>
              </w:rPr>
              <w:t>15.5</w:t>
            </w:r>
          </w:p>
        </w:tc>
        <w:tc>
          <w:tcPr>
            <w:tcW w:w="2143" w:type="dxa"/>
          </w:tcPr>
          <w:p w14:paraId="56212D79" w14:textId="77777777" w:rsidR="006E0408" w:rsidRPr="00AC3478"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rsidRPr="00AC3478">
              <w:t>Are there regulatory gaps and anomalies across 6-14? What?</w:t>
            </w:r>
          </w:p>
        </w:tc>
        <w:tc>
          <w:tcPr>
            <w:tcW w:w="2125" w:type="dxa"/>
          </w:tcPr>
          <w:p w14:paraId="51DA60EF" w14:textId="77777777" w:rsidR="006E0408" w:rsidRDefault="006E0408"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41C592D5" w14:textId="77777777" w:rsidR="006E0408" w:rsidRDefault="006E0408" w:rsidP="00F92CC7">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02EF83B0"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0C1F0470" w14:textId="77777777" w:rsidR="006E0408" w:rsidRPr="00AC3478" w:rsidRDefault="00D97AF7" w:rsidP="00F92CC7">
            <w:pPr>
              <w:spacing w:line="276" w:lineRule="auto"/>
              <w:rPr>
                <w:rFonts w:cs="Arial"/>
                <w:color w:val="747474" w:themeColor="background2" w:themeShade="80"/>
              </w:rPr>
            </w:pPr>
            <w:r w:rsidRPr="00AC3478">
              <w:rPr>
                <w:rFonts w:cs="Arial"/>
                <w:color w:val="747474" w:themeColor="background2" w:themeShade="80"/>
              </w:rPr>
              <w:t>15.6</w:t>
            </w:r>
          </w:p>
        </w:tc>
        <w:tc>
          <w:tcPr>
            <w:tcW w:w="2143" w:type="dxa"/>
          </w:tcPr>
          <w:p w14:paraId="1CF9E706" w14:textId="77777777" w:rsidR="006E0408" w:rsidRPr="00AC3478"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AC3478">
              <w:t>Metrics/ranking</w:t>
            </w:r>
          </w:p>
        </w:tc>
        <w:tc>
          <w:tcPr>
            <w:tcW w:w="2125" w:type="dxa"/>
          </w:tcPr>
          <w:p w14:paraId="3A209CB5" w14:textId="77777777" w:rsidR="006E0408" w:rsidRDefault="006E0408"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1028A931" w14:textId="77777777" w:rsidR="006E0408" w:rsidRDefault="006E0408" w:rsidP="00F92CC7">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bl>
    <w:p w14:paraId="399BA3F8" w14:textId="77777777" w:rsidR="00D91F60" w:rsidRPr="00FB6479" w:rsidRDefault="00D97AF7" w:rsidP="00FB6479">
      <w:pPr>
        <w:pStyle w:val="SectionHead"/>
        <w:rPr>
          <w:iCs w:val="0"/>
        </w:rPr>
      </w:pPr>
      <w:bookmarkStart w:id="22" w:name="_Toc170136356"/>
      <w:r w:rsidRPr="00FB6479">
        <w:rPr>
          <w:iCs w:val="0"/>
        </w:rPr>
        <w:t>Analysis and Evaluation</w:t>
      </w:r>
      <w:r w:rsidRPr="00FB6479">
        <w:rPr>
          <w:iCs w:val="0"/>
        </w:rPr>
        <w:br/>
      </w:r>
      <w:r w:rsidRPr="00566A9E">
        <w:rPr>
          <w:iCs w:val="0"/>
          <w:highlight w:val="lightGray"/>
        </w:rPr>
        <w:t>This section will be completed in 2024-2025 for publication at the end of the BCG Project in 2025</w:t>
      </w:r>
      <w:bookmarkEnd w:id="2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0F492D" w14:paraId="63D4456E" w14:textId="77777777" w:rsidTr="000F492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22EE414E" w14:textId="77777777" w:rsidR="00D91F60" w:rsidRPr="00686D2A" w:rsidRDefault="00D97AF7" w:rsidP="00F92CC7">
            <w:pPr>
              <w:pStyle w:val="Tableheadings"/>
            </w:pPr>
            <w:r w:rsidRPr="00686D2A">
              <w:rPr>
                <w:b/>
                <w:bCs/>
              </w:rPr>
              <w:t>Item</w:t>
            </w:r>
          </w:p>
        </w:tc>
        <w:tc>
          <w:tcPr>
            <w:tcW w:w="2143" w:type="dxa"/>
            <w:tcBorders>
              <w:bottom w:val="none" w:sz="0" w:space="0" w:color="auto"/>
            </w:tcBorders>
          </w:tcPr>
          <w:p w14:paraId="294C2082" w14:textId="77777777" w:rsidR="00D91F60"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pPr>
            <w:r w:rsidRPr="00686D2A">
              <w:rPr>
                <w:b/>
                <w:bCs/>
              </w:rPr>
              <w:t>Subject</w:t>
            </w:r>
          </w:p>
        </w:tc>
        <w:tc>
          <w:tcPr>
            <w:tcW w:w="2125" w:type="dxa"/>
            <w:tcBorders>
              <w:bottom w:val="none" w:sz="0" w:space="0" w:color="auto"/>
            </w:tcBorders>
          </w:tcPr>
          <w:p w14:paraId="6887E687" w14:textId="77777777" w:rsidR="00D91F60"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3A3A3A" w:themeColor="background2" w:themeShade="40"/>
              </w:rPr>
            </w:pPr>
            <w:r w:rsidRPr="00424EE4">
              <w:rPr>
                <w:b/>
                <w:bCs/>
              </w:rPr>
              <w:t>Classification</w:t>
            </w:r>
            <w:r w:rsidRPr="00686D2A">
              <w:rPr>
                <w:b/>
                <w:bCs/>
                <w:color w:val="595959" w:themeColor="text1" w:themeTint="A6"/>
              </w:rPr>
              <w:t xml:space="preserve"> </w:t>
            </w:r>
          </w:p>
        </w:tc>
        <w:tc>
          <w:tcPr>
            <w:tcW w:w="5656" w:type="dxa"/>
            <w:tcBorders>
              <w:bottom w:val="none" w:sz="0" w:space="0" w:color="auto"/>
            </w:tcBorders>
          </w:tcPr>
          <w:p w14:paraId="40A3B7F0" w14:textId="77777777" w:rsidR="00D91F60" w:rsidRPr="00686D2A" w:rsidRDefault="00D97AF7" w:rsidP="00F92CC7">
            <w:pPr>
              <w:pStyle w:val="Tableheadings"/>
              <w:cnfStyle w:val="100000000000" w:firstRow="1" w:lastRow="0" w:firstColumn="0" w:lastColumn="0" w:oddVBand="0" w:evenVBand="0" w:oddHBand="0" w:evenHBand="0" w:firstRowFirstColumn="0" w:firstRowLastColumn="0" w:lastRowFirstColumn="0" w:lastRowLastColumn="0"/>
              <w:rPr>
                <w:color w:val="595959" w:themeColor="text1" w:themeTint="A6"/>
              </w:rPr>
            </w:pPr>
            <w:r w:rsidRPr="00424EE4">
              <w:rPr>
                <w:b/>
                <w:bCs/>
              </w:rPr>
              <w:t>Description</w:t>
            </w:r>
          </w:p>
        </w:tc>
      </w:tr>
      <w:tr w:rsidR="000F492D" w14:paraId="41567BB8"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61788598" w14:textId="77777777" w:rsidR="00D91F60" w:rsidRPr="00203503" w:rsidRDefault="00D97AF7" w:rsidP="00F92CC7">
            <w:pPr>
              <w:spacing w:line="276" w:lineRule="auto"/>
              <w:rPr>
                <w:rFonts w:cs="Arial"/>
                <w:color w:val="747474" w:themeColor="background2" w:themeShade="80"/>
              </w:rPr>
            </w:pPr>
            <w:r>
              <w:rPr>
                <w:rFonts w:cs="Arial"/>
                <w:color w:val="747474" w:themeColor="background2" w:themeShade="80"/>
              </w:rPr>
              <w:t>1</w:t>
            </w:r>
            <w:r w:rsidR="002E3655">
              <w:rPr>
                <w:rFonts w:cs="Arial"/>
                <w:color w:val="747474" w:themeColor="background2" w:themeShade="80"/>
              </w:rPr>
              <w:t>6</w:t>
            </w:r>
            <w:r>
              <w:rPr>
                <w:rFonts w:cs="Arial"/>
                <w:color w:val="747474" w:themeColor="background2" w:themeShade="80"/>
              </w:rPr>
              <w:t>.1</w:t>
            </w:r>
          </w:p>
        </w:tc>
        <w:tc>
          <w:tcPr>
            <w:tcW w:w="2143" w:type="dxa"/>
            <w:tcBorders>
              <w:top w:val="none" w:sz="0" w:space="0" w:color="auto"/>
              <w:bottom w:val="none" w:sz="0" w:space="0" w:color="auto"/>
            </w:tcBorders>
          </w:tcPr>
          <w:p w14:paraId="67AA02FD" w14:textId="77777777" w:rsidR="00D91F60" w:rsidRPr="000004F6"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t>Practices</w:t>
            </w:r>
          </w:p>
        </w:tc>
        <w:tc>
          <w:tcPr>
            <w:tcW w:w="2125" w:type="dxa"/>
            <w:tcBorders>
              <w:top w:val="none" w:sz="0" w:space="0" w:color="auto"/>
              <w:bottom w:val="none" w:sz="0" w:space="0" w:color="auto"/>
            </w:tcBorders>
          </w:tcPr>
          <w:p w14:paraId="00419DE6" w14:textId="77777777" w:rsidR="00D91F60" w:rsidRPr="00745C48" w:rsidRDefault="00D91F60"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705328F0" w14:textId="77777777" w:rsidR="00D91F60" w:rsidRPr="0016559B" w:rsidRDefault="00D91F60" w:rsidP="00F92CC7">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6B7834C2"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2DD525B9" w14:textId="77777777" w:rsidR="00D91F60" w:rsidRPr="00203503" w:rsidRDefault="00D97AF7" w:rsidP="00F92CC7">
            <w:pPr>
              <w:spacing w:line="276" w:lineRule="auto"/>
              <w:rPr>
                <w:rFonts w:cs="Arial"/>
                <w:color w:val="3A3A3A" w:themeColor="background2" w:themeShade="40"/>
              </w:rPr>
            </w:pPr>
            <w:r>
              <w:rPr>
                <w:rFonts w:cs="Arial"/>
                <w:color w:val="747474" w:themeColor="background2" w:themeShade="80"/>
              </w:rPr>
              <w:t>1</w:t>
            </w:r>
            <w:r w:rsidR="002E3655">
              <w:rPr>
                <w:rFonts w:cs="Arial"/>
                <w:color w:val="747474" w:themeColor="background2" w:themeShade="80"/>
              </w:rPr>
              <w:t>6</w:t>
            </w:r>
            <w:r>
              <w:rPr>
                <w:rFonts w:cs="Arial"/>
                <w:color w:val="747474" w:themeColor="background2" w:themeShade="80"/>
              </w:rPr>
              <w:t>.2</w:t>
            </w:r>
          </w:p>
        </w:tc>
        <w:tc>
          <w:tcPr>
            <w:tcW w:w="2143" w:type="dxa"/>
          </w:tcPr>
          <w:p w14:paraId="651508EA" w14:textId="77777777" w:rsidR="00D91F60"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rsidRPr="00947E91">
              <w:rPr>
                <w:rFonts w:eastAsia="Arial" w:cstheme="minorHAnsi"/>
              </w:rPr>
              <w:t>Commercial influence over editorial content</w:t>
            </w:r>
          </w:p>
        </w:tc>
        <w:tc>
          <w:tcPr>
            <w:tcW w:w="2125" w:type="dxa"/>
          </w:tcPr>
          <w:p w14:paraId="7303E99F" w14:textId="77777777" w:rsidR="00D91F60" w:rsidRDefault="00D97AF7" w:rsidP="00F92CC7">
            <w:pPr>
              <w:pStyle w:val="Classificationcolumntext"/>
              <w:cnfStyle w:val="000000000000" w:firstRow="0" w:lastRow="0" w:firstColumn="0" w:lastColumn="0" w:oddVBand="0" w:evenVBand="0" w:oddHBand="0" w:evenHBand="0" w:firstRowFirstColumn="0" w:firstRowLastColumn="0" w:lastRowFirstColumn="0" w:lastRowLastColumn="0"/>
            </w:pPr>
            <w:r>
              <w:t>Medium Risk</w:t>
            </w:r>
          </w:p>
        </w:tc>
        <w:tc>
          <w:tcPr>
            <w:tcW w:w="5656" w:type="dxa"/>
          </w:tcPr>
          <w:p w14:paraId="78267930" w14:textId="1679A2AF" w:rsidR="008545BF" w:rsidRPr="00800B3B" w:rsidRDefault="00D97AF7" w:rsidP="0007002B">
            <w:pPr>
              <w:cnfStyle w:val="000000000000" w:firstRow="0" w:lastRow="0" w:firstColumn="0" w:lastColumn="0" w:oddVBand="0" w:evenVBand="0" w:oddHBand="0" w:evenHBand="0" w:firstRowFirstColumn="0" w:firstRowLastColumn="0" w:lastRowFirstColumn="0" w:lastRowLastColumn="0"/>
              <w:rPr>
                <w:rFonts w:eastAsia="Calibri" w:cs="Arial"/>
              </w:rPr>
            </w:pPr>
            <w:r w:rsidRPr="00800B3B">
              <w:rPr>
                <w:rFonts w:cs="Arial"/>
              </w:rPr>
              <w:t>According to the Media Plurality Report 2022</w:t>
            </w:r>
            <w:r w:rsidR="00913E51">
              <w:rPr>
                <w:rFonts w:cs="Arial"/>
              </w:rPr>
              <w:t>,</w:t>
            </w:r>
            <w:r w:rsidRPr="00800B3B">
              <w:rPr>
                <w:rFonts w:cs="Arial"/>
              </w:rPr>
              <w:t xml:space="preserve"> Spain’s ranking was </w:t>
            </w:r>
            <w:r w:rsidRPr="00800B3B">
              <w:rPr>
                <w:rFonts w:eastAsia="Calibri" w:cs="Arial"/>
              </w:rPr>
              <w:t xml:space="preserve">60% - medium risk (the same level as the previous year). This ranking took account of the report on the journalistic profession published annually by the Madrid Press Association, which highlighted that the lack of independence of journalists in the face of political and economic pressure continued to be a major concern for journalists. The lack of political and economic independence also affected the trust of citizens towards the press, with 45% not trusting journalists, according to the Edelman Trust Barometer 2021. </w:t>
            </w:r>
          </w:p>
          <w:p w14:paraId="77040D29" w14:textId="77777777" w:rsidR="008545BF" w:rsidRPr="00800B3B" w:rsidRDefault="008545BF" w:rsidP="0007002B">
            <w:pPr>
              <w:cnfStyle w:val="000000000000" w:firstRow="0" w:lastRow="0" w:firstColumn="0" w:lastColumn="0" w:oddVBand="0" w:evenVBand="0" w:oddHBand="0" w:evenHBand="0" w:firstRowFirstColumn="0" w:firstRowLastColumn="0" w:lastRowFirstColumn="0" w:lastRowLastColumn="0"/>
              <w:rPr>
                <w:rFonts w:eastAsia="Calibri" w:cs="Arial"/>
              </w:rPr>
            </w:pPr>
          </w:p>
          <w:p w14:paraId="7179DF4B" w14:textId="77777777" w:rsidR="00D91F60" w:rsidRPr="00800B3B" w:rsidRDefault="00D97AF7" w:rsidP="0007002B">
            <w:pPr>
              <w:cnfStyle w:val="000000000000" w:firstRow="0" w:lastRow="0" w:firstColumn="0" w:lastColumn="0" w:oddVBand="0" w:evenVBand="0" w:oddHBand="0" w:evenHBand="0" w:firstRowFirstColumn="0" w:firstRowLastColumn="0" w:lastRowFirstColumn="0" w:lastRowLastColumn="0"/>
              <w:rPr>
                <w:rFonts w:cs="Arial"/>
              </w:rPr>
            </w:pPr>
            <w:r w:rsidRPr="00800B3B">
              <w:rPr>
                <w:rFonts w:eastAsia="Calibri" w:cs="Arial"/>
              </w:rPr>
              <w:t xml:space="preserve">The MPM 20222 report also highlighted the lack of professional status for journalists as contributing to the lack of </w:t>
            </w:r>
            <w:r w:rsidR="0007002B" w:rsidRPr="00800B3B">
              <w:rPr>
                <w:rFonts w:eastAsia="Calibri" w:cs="Arial"/>
              </w:rPr>
              <w:t xml:space="preserve">specific legislation </w:t>
            </w:r>
            <w:r w:rsidRPr="00800B3B">
              <w:rPr>
                <w:rFonts w:eastAsia="Calibri" w:cs="Arial"/>
              </w:rPr>
              <w:t>to protect journalistic independence. As the report states: ‘</w:t>
            </w:r>
            <w:r w:rsidR="0007002B" w:rsidRPr="00800B3B">
              <w:rPr>
                <w:rFonts w:eastAsia="Calibri" w:cs="Arial"/>
              </w:rPr>
              <w:t>Therefore, everything is left in the hands of the self-regulation of the media itself or of the professional sectors</w:t>
            </w:r>
            <w:r w:rsidRPr="00800B3B">
              <w:rPr>
                <w:rFonts w:eastAsia="Calibri" w:cs="Arial"/>
              </w:rPr>
              <w:t>’ (MPM 2022: 13)</w:t>
            </w:r>
            <w:r w:rsidR="0007002B" w:rsidRPr="00800B3B">
              <w:rPr>
                <w:rFonts w:eastAsia="Calibri" w:cs="Arial"/>
              </w:rPr>
              <w:t xml:space="preserve">. However, </w:t>
            </w:r>
            <w:r w:rsidRPr="00800B3B">
              <w:rPr>
                <w:rFonts w:eastAsia="Calibri" w:cs="Arial"/>
              </w:rPr>
              <w:t>the report notes that ‘</w:t>
            </w:r>
            <w:r w:rsidR="0007002B" w:rsidRPr="00800B3B">
              <w:rPr>
                <w:rFonts w:eastAsia="Calibri" w:cs="Arial"/>
              </w:rPr>
              <w:t xml:space="preserve">some self-regulatory </w:t>
            </w:r>
            <w:r w:rsidR="0007002B" w:rsidRPr="00800B3B">
              <w:rPr>
                <w:rFonts w:eastAsia="Calibri" w:cs="Arial"/>
              </w:rPr>
              <w:lastRenderedPageBreak/>
              <w:t>codes have prestige</w:t>
            </w:r>
            <w:r w:rsidRPr="00800B3B">
              <w:rPr>
                <w:rFonts w:eastAsia="Calibri" w:cs="Arial"/>
              </w:rPr>
              <w:t xml:space="preserve">’ and cites Autocontrol as an SRO whose Jury rulings and its own recommendations </w:t>
            </w:r>
            <w:r w:rsidR="0007002B" w:rsidRPr="00800B3B">
              <w:rPr>
                <w:rFonts w:eastAsia="Calibri" w:cs="Arial"/>
              </w:rPr>
              <w:t xml:space="preserve">are usually </w:t>
            </w:r>
            <w:r w:rsidRPr="00800B3B">
              <w:rPr>
                <w:rFonts w:eastAsia="Calibri" w:cs="Arial"/>
              </w:rPr>
              <w:t xml:space="preserve">adhered to by professional </w:t>
            </w:r>
            <w:r w:rsidR="0007002B" w:rsidRPr="00800B3B">
              <w:rPr>
                <w:rFonts w:eastAsia="Calibri" w:cs="Arial"/>
              </w:rPr>
              <w:t xml:space="preserve"> advertisers, advertising agencies, media, and professional associations (MPM 2022: 13).</w:t>
            </w:r>
          </w:p>
        </w:tc>
      </w:tr>
      <w:tr w:rsidR="000F492D" w14:paraId="0610DF88"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D8CE1B2" w14:textId="77777777" w:rsidR="00D91F60" w:rsidRDefault="00D97AF7" w:rsidP="00F92CC7">
            <w:pPr>
              <w:spacing w:line="276" w:lineRule="auto"/>
              <w:rPr>
                <w:rFonts w:cs="Arial"/>
                <w:color w:val="747474" w:themeColor="background2" w:themeShade="80"/>
              </w:rPr>
            </w:pPr>
            <w:r>
              <w:rPr>
                <w:rFonts w:cs="Arial"/>
                <w:color w:val="747474" w:themeColor="background2" w:themeShade="80"/>
              </w:rPr>
              <w:lastRenderedPageBreak/>
              <w:t>1</w:t>
            </w:r>
            <w:r w:rsidR="002E3655">
              <w:rPr>
                <w:rFonts w:cs="Arial"/>
                <w:color w:val="747474" w:themeColor="background2" w:themeShade="80"/>
              </w:rPr>
              <w:t>6</w:t>
            </w:r>
            <w:r>
              <w:rPr>
                <w:rFonts w:cs="Arial"/>
                <w:color w:val="747474" w:themeColor="background2" w:themeShade="80"/>
              </w:rPr>
              <w:t>.3</w:t>
            </w:r>
          </w:p>
        </w:tc>
        <w:tc>
          <w:tcPr>
            <w:tcW w:w="2143" w:type="dxa"/>
          </w:tcPr>
          <w:p w14:paraId="20BB672C" w14:textId="77777777" w:rsidR="00D91F60" w:rsidRPr="00275162"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t>Rule adherence</w:t>
            </w:r>
          </w:p>
        </w:tc>
        <w:tc>
          <w:tcPr>
            <w:tcW w:w="2125" w:type="dxa"/>
          </w:tcPr>
          <w:p w14:paraId="5071C00D" w14:textId="77777777" w:rsidR="00D91F60" w:rsidRDefault="00D91F60"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36E18DFC" w14:textId="77777777" w:rsidR="00D91F60" w:rsidRDefault="00D91F60" w:rsidP="00F92CC7">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336EC4FC"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05C15DC" w14:textId="77777777" w:rsidR="00D91F60" w:rsidRDefault="00D97AF7" w:rsidP="00F92CC7">
            <w:pPr>
              <w:spacing w:line="276" w:lineRule="auto"/>
              <w:rPr>
                <w:rFonts w:cs="Arial"/>
                <w:color w:val="747474" w:themeColor="background2" w:themeShade="80"/>
              </w:rPr>
            </w:pPr>
            <w:r>
              <w:rPr>
                <w:rFonts w:cs="Arial"/>
                <w:color w:val="747474" w:themeColor="background2" w:themeShade="80"/>
              </w:rPr>
              <w:t>1</w:t>
            </w:r>
            <w:r w:rsidR="002E3655">
              <w:rPr>
                <w:rFonts w:cs="Arial"/>
                <w:color w:val="747474" w:themeColor="background2" w:themeShade="80"/>
              </w:rPr>
              <w:t>6</w:t>
            </w:r>
            <w:r>
              <w:rPr>
                <w:rFonts w:cs="Arial"/>
                <w:color w:val="747474" w:themeColor="background2" w:themeShade="80"/>
              </w:rPr>
              <w:t>.4</w:t>
            </w:r>
          </w:p>
        </w:tc>
        <w:tc>
          <w:tcPr>
            <w:tcW w:w="2143" w:type="dxa"/>
          </w:tcPr>
          <w:p w14:paraId="77BF6E43" w14:textId="77777777" w:rsidR="00D91F60" w:rsidRPr="00275162" w:rsidRDefault="00D97AF7" w:rsidP="00F92CC7">
            <w:pPr>
              <w:pStyle w:val="Subjectcolumntext"/>
              <w:cnfStyle w:val="000000000000" w:firstRow="0" w:lastRow="0" w:firstColumn="0" w:lastColumn="0" w:oddVBand="0" w:evenVBand="0" w:oddHBand="0" w:evenHBand="0" w:firstRowFirstColumn="0" w:firstRowLastColumn="0" w:lastRowFirstColumn="0" w:lastRowLastColumn="0"/>
            </w:pPr>
            <w:r>
              <w:t>Legal-reg legitimacy (support)</w:t>
            </w:r>
          </w:p>
        </w:tc>
        <w:tc>
          <w:tcPr>
            <w:tcW w:w="2125" w:type="dxa"/>
          </w:tcPr>
          <w:p w14:paraId="05F5FC46" w14:textId="77777777" w:rsidR="00D91F60" w:rsidRDefault="00D91F60" w:rsidP="00F92CC7">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8DBCDB0" w14:textId="77777777" w:rsidR="00D91F60" w:rsidRDefault="00D91F60" w:rsidP="00F92CC7">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0F492D" w14:paraId="09751D81"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3B87CE8A" w14:textId="77777777" w:rsidR="00D91F60" w:rsidRDefault="00D97AF7" w:rsidP="00F92CC7">
            <w:pPr>
              <w:spacing w:line="276" w:lineRule="auto"/>
              <w:rPr>
                <w:rFonts w:cs="Arial"/>
                <w:color w:val="747474" w:themeColor="background2" w:themeShade="80"/>
              </w:rPr>
            </w:pPr>
            <w:r>
              <w:rPr>
                <w:rFonts w:cs="Arial"/>
                <w:color w:val="747474" w:themeColor="background2" w:themeShade="80"/>
              </w:rPr>
              <w:t>1</w:t>
            </w:r>
            <w:r w:rsidR="002E3655">
              <w:rPr>
                <w:rFonts w:cs="Arial"/>
                <w:color w:val="747474" w:themeColor="background2" w:themeShade="80"/>
              </w:rPr>
              <w:t>6</w:t>
            </w:r>
            <w:r>
              <w:rPr>
                <w:rFonts w:cs="Arial"/>
                <w:color w:val="747474" w:themeColor="background2" w:themeShade="80"/>
              </w:rPr>
              <w:t>.5</w:t>
            </w:r>
          </w:p>
        </w:tc>
        <w:tc>
          <w:tcPr>
            <w:tcW w:w="2143" w:type="dxa"/>
          </w:tcPr>
          <w:p w14:paraId="640B598D" w14:textId="77777777" w:rsidR="00D91F60" w:rsidRPr="00275162" w:rsidRDefault="00D97AF7" w:rsidP="00F92CC7">
            <w:pPr>
              <w:pStyle w:val="Subjectcolumntext"/>
              <w:cnfStyle w:val="000000100000" w:firstRow="0" w:lastRow="0" w:firstColumn="0" w:lastColumn="0" w:oddVBand="0" w:evenVBand="0" w:oddHBand="1" w:evenHBand="0" w:firstRowFirstColumn="0" w:firstRowLastColumn="0" w:lastRowFirstColumn="0" w:lastRowLastColumn="0"/>
            </w:pPr>
            <w:r>
              <w:t>SRO legitimacy (support)</w:t>
            </w:r>
          </w:p>
        </w:tc>
        <w:tc>
          <w:tcPr>
            <w:tcW w:w="2125" w:type="dxa"/>
          </w:tcPr>
          <w:p w14:paraId="227752C3" w14:textId="77777777" w:rsidR="00D91F60" w:rsidRDefault="00D91F60" w:rsidP="00F92CC7">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6AEC2D4" w14:textId="77777777" w:rsidR="00D91F60" w:rsidRDefault="00D91F60" w:rsidP="00F92CC7">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13E969D8"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6CF99336" w14:textId="77777777" w:rsidR="008E179F" w:rsidRDefault="00D97AF7" w:rsidP="008E179F">
            <w:pPr>
              <w:spacing w:line="276" w:lineRule="auto"/>
              <w:rPr>
                <w:rFonts w:cs="Arial"/>
                <w:color w:val="747474" w:themeColor="background2" w:themeShade="80"/>
              </w:rPr>
            </w:pPr>
            <w:r>
              <w:rPr>
                <w:rFonts w:cs="Arial"/>
                <w:color w:val="747474" w:themeColor="background2" w:themeShade="80"/>
              </w:rPr>
              <w:t>16.6</w:t>
            </w:r>
          </w:p>
        </w:tc>
        <w:tc>
          <w:tcPr>
            <w:tcW w:w="2143" w:type="dxa"/>
          </w:tcPr>
          <w:p w14:paraId="3D91650B" w14:textId="77777777" w:rsidR="008E179F" w:rsidRPr="00275162" w:rsidRDefault="00D97AF7" w:rsidP="008E179F">
            <w:pPr>
              <w:pStyle w:val="Subjectcolumntext"/>
              <w:cnfStyle w:val="000000000000" w:firstRow="0" w:lastRow="0" w:firstColumn="0" w:lastColumn="0" w:oddVBand="0" w:evenVBand="0" w:oddHBand="0" w:evenHBand="0" w:firstRowFirstColumn="0" w:firstRowLastColumn="0" w:lastRowFirstColumn="0" w:lastRowLastColumn="0"/>
            </w:pPr>
            <w:r w:rsidRPr="00087603">
              <w:t>Legal Enforcement</w:t>
            </w:r>
          </w:p>
        </w:tc>
        <w:tc>
          <w:tcPr>
            <w:tcW w:w="2125" w:type="dxa"/>
          </w:tcPr>
          <w:p w14:paraId="0DDE3C87" w14:textId="77777777" w:rsidR="008E179F" w:rsidRDefault="008E179F" w:rsidP="008E179F">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21C4BF3E" w14:textId="77777777" w:rsidR="008E179F" w:rsidRDefault="008E179F" w:rsidP="008E179F">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0F492D" w14:paraId="6B12E2B9"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C8E3F68" w14:textId="77777777" w:rsidR="008E179F" w:rsidRDefault="00D97AF7" w:rsidP="008E179F">
            <w:pPr>
              <w:spacing w:line="276" w:lineRule="auto"/>
              <w:rPr>
                <w:rFonts w:cs="Arial"/>
                <w:color w:val="747474" w:themeColor="background2" w:themeShade="80"/>
              </w:rPr>
            </w:pPr>
            <w:r>
              <w:rPr>
                <w:rFonts w:cs="Arial"/>
                <w:color w:val="747474" w:themeColor="background2" w:themeShade="80"/>
              </w:rPr>
              <w:t>16.7</w:t>
            </w:r>
          </w:p>
        </w:tc>
        <w:tc>
          <w:tcPr>
            <w:tcW w:w="2143" w:type="dxa"/>
          </w:tcPr>
          <w:p w14:paraId="782384F8" w14:textId="77777777" w:rsidR="008E179F" w:rsidRPr="00087603" w:rsidRDefault="00D97AF7" w:rsidP="008E179F">
            <w:pPr>
              <w:pStyle w:val="Subjectcolumntext"/>
              <w:cnfStyle w:val="000000100000" w:firstRow="0" w:lastRow="0" w:firstColumn="0" w:lastColumn="0" w:oddVBand="0" w:evenVBand="0" w:oddHBand="1" w:evenHBand="0" w:firstRowFirstColumn="0" w:firstRowLastColumn="0" w:lastRowFirstColumn="0" w:lastRowLastColumn="0"/>
            </w:pPr>
            <w:r>
              <w:t>SRO enforcement</w:t>
            </w:r>
          </w:p>
        </w:tc>
        <w:tc>
          <w:tcPr>
            <w:tcW w:w="2125" w:type="dxa"/>
          </w:tcPr>
          <w:p w14:paraId="05B1189B" w14:textId="77777777" w:rsidR="008E179F" w:rsidRPr="00087603" w:rsidRDefault="008E179F" w:rsidP="008E179F">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609A52F" w14:textId="77777777" w:rsidR="008E179F" w:rsidRDefault="008E179F" w:rsidP="008E179F">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0ECC86A8"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E90CDB7" w14:textId="77777777" w:rsidR="008E179F" w:rsidRDefault="00D97AF7" w:rsidP="008E179F">
            <w:pPr>
              <w:spacing w:line="276" w:lineRule="auto"/>
              <w:rPr>
                <w:rFonts w:cs="Arial"/>
                <w:color w:val="747474" w:themeColor="background2" w:themeShade="80"/>
              </w:rPr>
            </w:pPr>
            <w:r>
              <w:rPr>
                <w:rFonts w:cs="Arial"/>
                <w:color w:val="747474" w:themeColor="background2" w:themeShade="80"/>
              </w:rPr>
              <w:t>16.8</w:t>
            </w:r>
          </w:p>
        </w:tc>
        <w:tc>
          <w:tcPr>
            <w:tcW w:w="2143" w:type="dxa"/>
          </w:tcPr>
          <w:p w14:paraId="2430BEB9" w14:textId="77777777" w:rsidR="008E179F" w:rsidRPr="00087603" w:rsidRDefault="00D97AF7" w:rsidP="008E179F">
            <w:pPr>
              <w:pStyle w:val="Subjectcolumntext"/>
              <w:cnfStyle w:val="000000000000" w:firstRow="0" w:lastRow="0" w:firstColumn="0" w:lastColumn="0" w:oddVBand="0" w:evenVBand="0" w:oddHBand="0" w:evenHBand="0" w:firstRowFirstColumn="0" w:firstRowLastColumn="0" w:lastRowFirstColumn="0" w:lastRowLastColumn="0"/>
            </w:pPr>
            <w:r>
              <w:t>Industry self-reg enforcement</w:t>
            </w:r>
          </w:p>
        </w:tc>
        <w:tc>
          <w:tcPr>
            <w:tcW w:w="2125" w:type="dxa"/>
          </w:tcPr>
          <w:p w14:paraId="7D117F7E" w14:textId="77777777" w:rsidR="008E179F" w:rsidRPr="00087603" w:rsidRDefault="008E179F" w:rsidP="008E179F">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2354FF22" w14:textId="77777777" w:rsidR="008E179F" w:rsidRDefault="008E179F" w:rsidP="008E179F">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r w:rsidR="000F492D" w14:paraId="49215B85" w14:textId="77777777" w:rsidTr="000F492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756A390" w14:textId="77777777" w:rsidR="00036FF9" w:rsidRDefault="00D97AF7" w:rsidP="008E179F">
            <w:pPr>
              <w:spacing w:line="276" w:lineRule="auto"/>
              <w:rPr>
                <w:rFonts w:cs="Arial"/>
                <w:color w:val="747474" w:themeColor="background2" w:themeShade="80"/>
              </w:rPr>
            </w:pPr>
            <w:r>
              <w:rPr>
                <w:rFonts w:cs="Arial"/>
                <w:color w:val="747474" w:themeColor="background2" w:themeShade="80"/>
              </w:rPr>
              <w:t>16.9</w:t>
            </w:r>
          </w:p>
        </w:tc>
        <w:tc>
          <w:tcPr>
            <w:tcW w:w="2143" w:type="dxa"/>
          </w:tcPr>
          <w:p w14:paraId="31CD9E8F" w14:textId="77777777" w:rsidR="00036FF9" w:rsidRDefault="00D97AF7" w:rsidP="008E179F">
            <w:pPr>
              <w:pStyle w:val="Subjectcolumntext"/>
              <w:cnfStyle w:val="000000100000" w:firstRow="0" w:lastRow="0" w:firstColumn="0" w:lastColumn="0" w:oddVBand="0" w:evenVBand="0" w:oddHBand="1" w:evenHBand="0" w:firstRowFirstColumn="0" w:firstRowLastColumn="0" w:lastRowFirstColumn="0" w:lastRowLastColumn="0"/>
            </w:pPr>
            <w:r>
              <w:t>Effectiveness</w:t>
            </w:r>
          </w:p>
        </w:tc>
        <w:tc>
          <w:tcPr>
            <w:tcW w:w="2125" w:type="dxa"/>
          </w:tcPr>
          <w:p w14:paraId="3848A639" w14:textId="77777777" w:rsidR="00036FF9" w:rsidRPr="00087603" w:rsidRDefault="00036FF9" w:rsidP="008E179F">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61D9D1E" w14:textId="77777777" w:rsidR="00036FF9" w:rsidRDefault="00036FF9" w:rsidP="008E179F">
            <w:pPr>
              <w:spacing w:line="276" w:lineRule="auto"/>
              <w:cnfStyle w:val="000000100000" w:firstRow="0" w:lastRow="0" w:firstColumn="0" w:lastColumn="0" w:oddVBand="0" w:evenVBand="0" w:oddHBand="1" w:evenHBand="0" w:firstRowFirstColumn="0" w:firstRowLastColumn="0" w:lastRowFirstColumn="0" w:lastRowLastColumn="0"/>
              <w:rPr>
                <w:rFonts w:cs="Arial"/>
              </w:rPr>
            </w:pPr>
          </w:p>
        </w:tc>
      </w:tr>
      <w:tr w:rsidR="000F492D" w14:paraId="07588BBF" w14:textId="77777777" w:rsidTr="000F492D">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FC0CC11" w14:textId="77777777" w:rsidR="008E179F" w:rsidRDefault="00D97AF7" w:rsidP="008E179F">
            <w:pPr>
              <w:spacing w:line="276" w:lineRule="auto"/>
              <w:rPr>
                <w:rFonts w:cs="Arial"/>
                <w:color w:val="747474" w:themeColor="background2" w:themeShade="80"/>
              </w:rPr>
            </w:pPr>
            <w:r>
              <w:rPr>
                <w:rFonts w:cs="Arial"/>
                <w:color w:val="747474" w:themeColor="background2" w:themeShade="80"/>
              </w:rPr>
              <w:t>16.</w:t>
            </w:r>
            <w:r w:rsidR="00024AB0">
              <w:rPr>
                <w:rFonts w:cs="Arial"/>
                <w:color w:val="747474" w:themeColor="background2" w:themeShade="80"/>
              </w:rPr>
              <w:t>10</w:t>
            </w:r>
          </w:p>
        </w:tc>
        <w:tc>
          <w:tcPr>
            <w:tcW w:w="2143" w:type="dxa"/>
          </w:tcPr>
          <w:p w14:paraId="42617E58" w14:textId="77777777" w:rsidR="008E179F" w:rsidRPr="00087603" w:rsidRDefault="00D97AF7" w:rsidP="008E179F">
            <w:pPr>
              <w:pStyle w:val="Subjectcolumntext"/>
              <w:cnfStyle w:val="000000000000" w:firstRow="0" w:lastRow="0" w:firstColumn="0" w:lastColumn="0" w:oddVBand="0" w:evenVBand="0" w:oddHBand="0" w:evenHBand="0" w:firstRowFirstColumn="0" w:firstRowLastColumn="0" w:lastRowFirstColumn="0" w:lastRowLastColumn="0"/>
            </w:pPr>
            <w:r>
              <w:t>Metrics/Ranking</w:t>
            </w:r>
          </w:p>
        </w:tc>
        <w:tc>
          <w:tcPr>
            <w:tcW w:w="2125" w:type="dxa"/>
          </w:tcPr>
          <w:p w14:paraId="3138CB77" w14:textId="77777777" w:rsidR="008E179F" w:rsidRPr="00087603" w:rsidRDefault="008E179F" w:rsidP="008E179F">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AE2515F" w14:textId="77777777" w:rsidR="008E179F" w:rsidRDefault="008E179F" w:rsidP="008E179F">
            <w:pPr>
              <w:spacing w:line="276" w:lineRule="auto"/>
              <w:cnfStyle w:val="000000000000" w:firstRow="0" w:lastRow="0" w:firstColumn="0" w:lastColumn="0" w:oddVBand="0" w:evenVBand="0" w:oddHBand="0" w:evenHBand="0" w:firstRowFirstColumn="0" w:firstRowLastColumn="0" w:lastRowFirstColumn="0" w:lastRowLastColumn="0"/>
              <w:rPr>
                <w:rFonts w:cs="Arial"/>
              </w:rPr>
            </w:pPr>
          </w:p>
        </w:tc>
      </w:tr>
    </w:tbl>
    <w:p w14:paraId="6AF5D6F5" w14:textId="77777777" w:rsidR="008D27DF" w:rsidRDefault="008D27DF" w:rsidP="008D27DF">
      <w:pPr>
        <w:pStyle w:val="Tableheadings"/>
      </w:pPr>
    </w:p>
    <w:p w14:paraId="74445429" w14:textId="0E8851AD" w:rsidR="00C51C56" w:rsidRDefault="00C51C56">
      <w:pPr>
        <w:rPr>
          <w:rFonts w:cs="Arial"/>
          <w:b/>
          <w:bCs/>
          <w:color w:val="747474" w:themeColor="background2" w:themeShade="80"/>
        </w:rPr>
      </w:pPr>
      <w:r>
        <w:br w:type="page"/>
      </w:r>
    </w:p>
    <w:p w14:paraId="3168074C" w14:textId="77777777" w:rsidR="00C51C56" w:rsidRDefault="00C51C56" w:rsidP="00C51C56">
      <w:pPr>
        <w:pStyle w:val="SectionHead"/>
        <w:numPr>
          <w:ilvl w:val="0"/>
          <w:numId w:val="0"/>
        </w:numPr>
      </w:pPr>
      <w:bookmarkStart w:id="23" w:name="_Toc169692791"/>
      <w:bookmarkStart w:id="24" w:name="_Toc170136357"/>
      <w:r>
        <w:lastRenderedPageBreak/>
        <w:t>Authorship and Acknowledgements</w:t>
      </w:r>
      <w:bookmarkEnd w:id="23"/>
      <w:bookmarkEnd w:id="24"/>
    </w:p>
    <w:p w14:paraId="7EECBF87" w14:textId="77777777" w:rsidR="00C51C56" w:rsidRDefault="00C51C56" w:rsidP="00C51C56">
      <w:pPr>
        <w:pStyle w:val="Tableheadings"/>
      </w:pPr>
    </w:p>
    <w:p w14:paraId="5B7CA4D6" w14:textId="77777777" w:rsidR="00C51C56" w:rsidRDefault="00C51C56" w:rsidP="00C51C56"/>
    <w:p w14:paraId="57CC9D40" w14:textId="77777777" w:rsidR="00C51C56" w:rsidRDefault="00C51C56" w:rsidP="00C51C56">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5FB99596" w14:textId="77777777" w:rsidR="00C51C56" w:rsidRDefault="00C51C56" w:rsidP="00C51C56">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14:paraId="6DAC8690" w14:textId="77777777" w:rsidR="00C51C56" w:rsidRDefault="00C51C56" w:rsidP="00C51C56">
      <w:pPr>
        <w:rPr>
          <w:rFonts w:ascii="Helvetica Neue" w:hAnsi="Helvetica Neue"/>
        </w:rPr>
      </w:pPr>
      <w:r>
        <w:rPr>
          <w:rFonts w:ascii="Helvetica Neue" w:hAnsi="Helvetica Neue"/>
        </w:rPr>
        <w:t>For this report we wish to thank the following members of our network of academic and other advisers for the BCG Project:</w:t>
      </w:r>
    </w:p>
    <w:p w14:paraId="0EB331CF" w14:textId="77777777" w:rsidR="00C51C56" w:rsidRDefault="00C51C56" w:rsidP="00C51C56">
      <w:pPr>
        <w:rPr>
          <w:rFonts w:ascii="Helvetica Neue" w:hAnsi="Helvetica Neue"/>
        </w:rPr>
      </w:pPr>
    </w:p>
    <w:p w14:paraId="0B8A9078" w14:textId="77777777" w:rsidR="00C51C56" w:rsidRDefault="00C51C56" w:rsidP="00C51C56">
      <w:pPr>
        <w:rPr>
          <w:rFonts w:ascii="Helvetica Neue" w:hAnsi="Helvetica Neue"/>
        </w:rPr>
      </w:pPr>
    </w:p>
    <w:p w14:paraId="5DD4FCE5" w14:textId="77777777" w:rsidR="00C51C56" w:rsidRDefault="00C51C56" w:rsidP="00C51C56">
      <w:pPr>
        <w:rPr>
          <w:rFonts w:ascii="Helvetica Neue" w:hAnsi="Helvetica Neue"/>
        </w:rPr>
      </w:pPr>
      <w:r>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4EF6CAF6" w14:textId="77777777" w:rsidR="00C51C56" w:rsidRDefault="00C51C56" w:rsidP="00C51C56"/>
    <w:p w14:paraId="6CD51D2D" w14:textId="77777777" w:rsidR="00C51C56" w:rsidRDefault="00C51C56" w:rsidP="00C51C56"/>
    <w:p w14:paraId="46CD3112" w14:textId="77777777" w:rsidR="00C51C56" w:rsidRDefault="00C51C56" w:rsidP="00C51C56"/>
    <w:p w14:paraId="48E064C4" w14:textId="77777777" w:rsidR="00C51C56" w:rsidRDefault="00C51C56" w:rsidP="00C51C56"/>
    <w:p w14:paraId="63869C40" w14:textId="77777777" w:rsidR="00C51C56" w:rsidRDefault="00C51C56" w:rsidP="00C51C56">
      <w:pPr>
        <w:rPr>
          <w:b/>
          <w:bCs/>
          <w:color w:val="747474" w:themeColor="background2" w:themeShade="80"/>
        </w:rPr>
      </w:pPr>
    </w:p>
    <w:p w14:paraId="4CC788A1" w14:textId="77777777" w:rsidR="00C51C56" w:rsidRDefault="00C51C56">
      <w:pPr>
        <w:rPr>
          <w:rFonts w:eastAsiaTheme="minorEastAsia" w:cs="Times New Roman (Body CS)"/>
          <w:iCs/>
          <w:color w:val="000000" w:themeColor="text1"/>
          <w:sz w:val="24"/>
          <w:szCs w:val="24"/>
        </w:rPr>
      </w:pPr>
      <w:bookmarkStart w:id="25" w:name="_Toc169692792"/>
      <w:r>
        <w:br w:type="page"/>
      </w:r>
    </w:p>
    <w:p w14:paraId="3E25366A" w14:textId="2F438810" w:rsidR="00C51C56" w:rsidRPr="002C4BF1" w:rsidRDefault="00C51C56" w:rsidP="00C51C56">
      <w:pPr>
        <w:pStyle w:val="SectionHead"/>
        <w:numPr>
          <w:ilvl w:val="0"/>
          <w:numId w:val="0"/>
        </w:numPr>
      </w:pPr>
      <w:bookmarkStart w:id="26" w:name="_Toc170136358"/>
      <w:r w:rsidRPr="002C4BF1">
        <w:lastRenderedPageBreak/>
        <w:t>References</w:t>
      </w:r>
      <w:bookmarkEnd w:id="25"/>
      <w:bookmarkEnd w:id="26"/>
    </w:p>
    <w:p w14:paraId="34A56151" w14:textId="77777777" w:rsidR="00C51C56" w:rsidRDefault="00C51C56" w:rsidP="00C51C56">
      <w:pPr>
        <w:pStyle w:val="Tableheadings"/>
      </w:pPr>
    </w:p>
    <w:p w14:paraId="5BDD77F1" w14:textId="77777777" w:rsidR="00647F7D" w:rsidRDefault="00647F7D" w:rsidP="008D27DF">
      <w:pPr>
        <w:pStyle w:val="Tableheadings"/>
      </w:pPr>
    </w:p>
    <w:p w14:paraId="5A4F3A68" w14:textId="77777777" w:rsidR="009E5AE2" w:rsidRPr="009E5AE2" w:rsidRDefault="00D97AF7" w:rsidP="00D713B8">
      <w:pPr>
        <w:spacing w:line="240" w:lineRule="auto"/>
        <w:ind w:left="284" w:hanging="284"/>
        <w:rPr>
          <w:rFonts w:cs="Arial"/>
        </w:rPr>
      </w:pPr>
      <w:r w:rsidRPr="009E5AE2">
        <w:rPr>
          <w:rFonts w:cs="Arial"/>
          <w:lang w:val="es-ES"/>
        </w:rPr>
        <w:t xml:space="preserve">Asociación Española de Anunciantes and AUTOCONTROL (2020). Código de Conducta sobre el Uso de Influencers en la Publicidad. </w:t>
      </w:r>
      <w:r w:rsidRPr="009E5AE2">
        <w:rPr>
          <w:rFonts w:cs="Arial"/>
        </w:rPr>
        <w:t xml:space="preserve">Available from: </w:t>
      </w:r>
      <w:hyperlink r:id="rId207" w:history="1">
        <w:r w:rsidRPr="009E5AE2">
          <w:rPr>
            <w:rStyle w:val="Hyperlink"/>
            <w:rFonts w:cs="Arial"/>
          </w:rPr>
          <w:t>https://www.autocontrol.es/wp-content/uploads/2020/10/codigo-de-conducta-publicidad-influencers.pdf</w:t>
        </w:r>
      </w:hyperlink>
      <w:r w:rsidRPr="009E5AE2">
        <w:rPr>
          <w:rFonts w:cs="Arial"/>
        </w:rPr>
        <w:t xml:space="preserve"> </w:t>
      </w:r>
    </w:p>
    <w:p w14:paraId="2C808A2A" w14:textId="77777777" w:rsidR="009E5AE2" w:rsidRPr="009E5AE2" w:rsidRDefault="00D97AF7" w:rsidP="00D713B8">
      <w:pPr>
        <w:spacing w:line="240" w:lineRule="auto"/>
        <w:ind w:left="284" w:hanging="284"/>
        <w:rPr>
          <w:rFonts w:cs="Arial"/>
        </w:rPr>
      </w:pPr>
      <w:r w:rsidRPr="009E5AE2">
        <w:rPr>
          <w:rFonts w:cs="Arial"/>
          <w:lang w:val="es-ES"/>
        </w:rPr>
        <w:t xml:space="preserve">Asociación Española de Fabricantes y Distribuidores de Productos de Nutrición Enteral (AENE) (2006, modified in 2020).  Código deontológico de la Asociación Española de Fabricantes y Distribuidores de Productos de Nutrición Enteral. </w:t>
      </w:r>
      <w:r w:rsidRPr="009E5AE2">
        <w:rPr>
          <w:rFonts w:cs="Arial"/>
        </w:rPr>
        <w:t xml:space="preserve">Available at: </w:t>
      </w:r>
      <w:hyperlink r:id="rId208" w:history="1">
        <w:r w:rsidRPr="009E5AE2">
          <w:rPr>
            <w:rStyle w:val="Hyperlink"/>
            <w:rFonts w:cs="Arial"/>
          </w:rPr>
          <w:t>https://www.autocontrol.es/wp-content/uploads/2020/09/codigo-deontologico-aene_2020.pdf</w:t>
        </w:r>
      </w:hyperlink>
      <w:r w:rsidRPr="009E5AE2">
        <w:rPr>
          <w:rFonts w:cs="Arial"/>
        </w:rPr>
        <w:t xml:space="preserve"> </w:t>
      </w:r>
    </w:p>
    <w:p w14:paraId="5A4133B0" w14:textId="77777777" w:rsidR="009E5AE2" w:rsidRPr="009E5AE2" w:rsidRDefault="00D97AF7" w:rsidP="00D713B8">
      <w:pPr>
        <w:spacing w:line="240" w:lineRule="auto"/>
        <w:ind w:left="284" w:hanging="284"/>
        <w:rPr>
          <w:rFonts w:cs="Arial"/>
          <w:lang w:val="es-ES"/>
        </w:rPr>
      </w:pPr>
      <w:r w:rsidRPr="009E5AE2">
        <w:rPr>
          <w:rStyle w:val="Hyperlink"/>
          <w:rFonts w:cs="Arial"/>
          <w:lang w:val="es-ES"/>
        </w:rPr>
        <w:t xml:space="preserve">AESEG </w:t>
      </w:r>
      <w:r w:rsidRPr="009E5AE2">
        <w:rPr>
          <w:rFonts w:cs="Arial"/>
          <w:lang w:val="es-ES"/>
        </w:rPr>
        <w:t>Asociación Española de Medicamentos Génericos</w:t>
      </w:r>
      <w:r w:rsidRPr="009E5AE2">
        <w:rPr>
          <w:rStyle w:val="Hyperlink"/>
          <w:rFonts w:cs="Arial"/>
          <w:lang w:val="es-ES"/>
        </w:rPr>
        <w:t xml:space="preserve"> (2018 modified in 2022).</w:t>
      </w:r>
      <w:r w:rsidRPr="009E5AE2">
        <w:rPr>
          <w:rFonts w:cs="Arial"/>
          <w:lang w:val="es-ES"/>
        </w:rPr>
        <w:t xml:space="preserve"> Código de Conducta sobre Interacciones con la Comunidad Sanitaria. Available at </w:t>
      </w:r>
      <w:hyperlink r:id="rId209" w:history="1">
        <w:r w:rsidRPr="009E5AE2">
          <w:rPr>
            <w:rStyle w:val="Hyperlink"/>
            <w:rFonts w:cs="Arial"/>
            <w:lang w:val="es-ES"/>
          </w:rPr>
          <w:t>https://www.autocontrol.es/wp-content/uploads/2022/10/codigo-de-conducta-aeseg.pdf</w:t>
        </w:r>
      </w:hyperlink>
      <w:r w:rsidRPr="009E5AE2">
        <w:rPr>
          <w:rFonts w:cs="Arial"/>
          <w:lang w:val="es-ES"/>
        </w:rPr>
        <w:t xml:space="preserve"> </w:t>
      </w:r>
    </w:p>
    <w:p w14:paraId="1268DD41" w14:textId="77777777" w:rsidR="009E5AE2" w:rsidRPr="009E5AE2" w:rsidRDefault="00D97AF7" w:rsidP="00D713B8">
      <w:pPr>
        <w:spacing w:line="240" w:lineRule="auto"/>
        <w:ind w:left="284" w:hanging="284"/>
        <w:rPr>
          <w:rFonts w:cs="Arial"/>
        </w:rPr>
      </w:pPr>
      <w:r w:rsidRPr="009E5AE2">
        <w:rPr>
          <w:rFonts w:cs="Arial"/>
          <w:lang w:val="es-ES"/>
        </w:rPr>
        <w:t xml:space="preserve">Asocación Española de Fabricantes de Juguetes (2022). Código de Autoregulación de la Publicidad Infantil de Juguetes. </w:t>
      </w:r>
      <w:r w:rsidRPr="009E5AE2">
        <w:rPr>
          <w:rFonts w:cs="Arial"/>
        </w:rPr>
        <w:t xml:space="preserve">Available at: </w:t>
      </w:r>
      <w:hyperlink r:id="rId210" w:history="1">
        <w:r w:rsidRPr="009E5AE2">
          <w:rPr>
            <w:rStyle w:val="Hyperlink"/>
            <w:rFonts w:cs="Arial"/>
          </w:rPr>
          <w:t>https://www.autocontrol.es/wp-content/uploads/2022/04/capij_anexo-protocolo-dgc_autocontrol_aefj.pdf</w:t>
        </w:r>
      </w:hyperlink>
      <w:r w:rsidRPr="009E5AE2">
        <w:rPr>
          <w:rFonts w:cs="Arial"/>
        </w:rPr>
        <w:t xml:space="preserve"> </w:t>
      </w:r>
    </w:p>
    <w:p w14:paraId="5BFCB2D2" w14:textId="77777777" w:rsidR="009E5AE2" w:rsidRPr="009E5AE2" w:rsidRDefault="00D97AF7" w:rsidP="00D713B8">
      <w:pPr>
        <w:spacing w:line="240" w:lineRule="auto"/>
        <w:ind w:left="284" w:hanging="284"/>
        <w:rPr>
          <w:rFonts w:cs="Arial"/>
        </w:rPr>
      </w:pPr>
      <w:r w:rsidRPr="009E5AE2">
        <w:rPr>
          <w:rFonts w:cs="Arial"/>
          <w:lang w:val="es-ES"/>
        </w:rPr>
        <w:t xml:space="preserve">Asociación Española de Videojuegos (AEVI) (2005 modified in 2018). Directrices sobre las Buenas Prácticas en la Publicidad de Productos de Software Interactivo. </w:t>
      </w:r>
      <w:r w:rsidRPr="009E5AE2">
        <w:rPr>
          <w:rFonts w:cs="Arial"/>
        </w:rPr>
        <w:t xml:space="preserve">Available at: </w:t>
      </w:r>
      <w:hyperlink r:id="rId211" w:history="1">
        <w:r w:rsidRPr="009E5AE2">
          <w:rPr>
            <w:rStyle w:val="Hyperlink"/>
            <w:rFonts w:cs="Arial"/>
          </w:rPr>
          <w:t>https://www.autocontrol.es/wp-content/uploads/2016/02/directrices_aevi_2018.pdf</w:t>
        </w:r>
      </w:hyperlink>
      <w:r w:rsidRPr="009E5AE2">
        <w:rPr>
          <w:rFonts w:cs="Arial"/>
        </w:rPr>
        <w:t xml:space="preserve"> </w:t>
      </w:r>
    </w:p>
    <w:p w14:paraId="08650293" w14:textId="77777777" w:rsidR="009E5AE2" w:rsidRPr="009E5AE2" w:rsidRDefault="00D97AF7" w:rsidP="00D713B8">
      <w:pPr>
        <w:spacing w:line="240" w:lineRule="auto"/>
        <w:ind w:left="284" w:hanging="284"/>
        <w:rPr>
          <w:rFonts w:cs="Arial"/>
        </w:rPr>
      </w:pPr>
      <w:r w:rsidRPr="009E5AE2">
        <w:rPr>
          <w:rFonts w:cs="Arial"/>
          <w:lang w:val="es-ES"/>
        </w:rPr>
        <w:t xml:space="preserve">Asociación Nacional de Empresas de Aguas de Bebida Envasable (ANEABE). (2016). Código deontológico de Buenas Prácticas del Sector de Aguas de BebIda Envasada en Materia de Etiquetado y Publicidad. </w:t>
      </w:r>
      <w:r w:rsidRPr="009E5AE2">
        <w:rPr>
          <w:rFonts w:cs="Arial"/>
        </w:rPr>
        <w:t xml:space="preserve">Available from: </w:t>
      </w:r>
      <w:hyperlink r:id="rId212" w:history="1">
        <w:r w:rsidRPr="009E5AE2">
          <w:rPr>
            <w:rStyle w:val="Hyperlink"/>
            <w:rFonts w:cs="Arial"/>
          </w:rPr>
          <w:t>https://www.autocontrol.es/wp-content/uploads/2016/02/c%C2%A2digo-deontol%C2%A2gico-de-aguas-envasadas-aneabe.pdf</w:t>
        </w:r>
      </w:hyperlink>
      <w:r w:rsidRPr="009E5AE2">
        <w:rPr>
          <w:rFonts w:cs="Arial"/>
        </w:rPr>
        <w:t xml:space="preserve"> </w:t>
      </w:r>
    </w:p>
    <w:p w14:paraId="2620848A" w14:textId="77777777" w:rsidR="009E5AE2" w:rsidRPr="009E5AE2" w:rsidRDefault="00D97AF7" w:rsidP="009E5AE2">
      <w:pPr>
        <w:spacing w:line="240" w:lineRule="auto"/>
        <w:ind w:left="283" w:hanging="283"/>
        <w:rPr>
          <w:rFonts w:cs="Arial"/>
        </w:rPr>
      </w:pPr>
      <w:r w:rsidRPr="009E5AE2">
        <w:rPr>
          <w:rFonts w:cs="Arial"/>
          <w:lang w:val="es-ES"/>
        </w:rPr>
        <w:t xml:space="preserve">Asociación Nacional de fabricantes de productos de Dietética Infantil (ANDI) (2013, modified in 2014).Código Deontológico de Buenas Prácticas Comerciales para la Promoción de los Productos Dietéticos Infantiles. </w:t>
      </w:r>
      <w:r w:rsidRPr="009E5AE2">
        <w:rPr>
          <w:rFonts w:cs="Arial"/>
        </w:rPr>
        <w:t xml:space="preserve">Available at: </w:t>
      </w:r>
      <w:hyperlink r:id="rId213" w:history="1">
        <w:r w:rsidRPr="009E5AE2">
          <w:rPr>
            <w:rStyle w:val="Hyperlink"/>
            <w:rFonts w:cs="Arial"/>
          </w:rPr>
          <w:t>https://www.autocontrol.es/wp-content/uploads/2016/02/c%C2%A2digo-deontol%C2%A2gico-de-buenas-pr%E2%80%A0cticas-comerciales-para-la-promoci%C2%A2n-de-los-productos-dietcticos-infantiles-andi.pdf</w:t>
        </w:r>
      </w:hyperlink>
      <w:r w:rsidRPr="009E5AE2">
        <w:rPr>
          <w:rFonts w:cs="Arial"/>
        </w:rPr>
        <w:t xml:space="preserve"> </w:t>
      </w:r>
    </w:p>
    <w:p w14:paraId="48897261" w14:textId="77777777" w:rsidR="009E5AE2" w:rsidRPr="009E5AE2" w:rsidRDefault="00D97AF7" w:rsidP="009E5AE2">
      <w:pPr>
        <w:spacing w:line="240" w:lineRule="auto"/>
        <w:ind w:left="283" w:hanging="283"/>
        <w:rPr>
          <w:rFonts w:cs="Arial"/>
        </w:rPr>
      </w:pPr>
      <w:r w:rsidRPr="009E5AE2">
        <w:rPr>
          <w:rFonts w:cs="Arial"/>
          <w:lang w:val="es-ES"/>
        </w:rPr>
        <w:t xml:space="preserve">Asociación Nacional de Perfumería y Cosmética (STANPA) (2019). Código de Buenas Prácticas del Etiquetado de las Toallitas y el Papel Higiénico Húmedo. </w:t>
      </w:r>
      <w:r w:rsidRPr="009E5AE2">
        <w:rPr>
          <w:rFonts w:cs="Arial"/>
        </w:rPr>
        <w:t xml:space="preserve">Available from: </w:t>
      </w:r>
      <w:hyperlink r:id="rId214" w:history="1">
        <w:r w:rsidRPr="009E5AE2">
          <w:rPr>
            <w:rStyle w:val="Hyperlink"/>
            <w:rFonts w:cs="Arial"/>
          </w:rPr>
          <w:t>https://www.autocontrol.es/wp-content/uploads/2018/11/codigo-buenas-practicas-etiquetado-toallitas-y-papel-higienico-humedo.pdf</w:t>
        </w:r>
      </w:hyperlink>
      <w:r w:rsidRPr="009E5AE2">
        <w:rPr>
          <w:rFonts w:cs="Arial"/>
        </w:rPr>
        <w:t xml:space="preserve"> </w:t>
      </w:r>
    </w:p>
    <w:p w14:paraId="5BF5E1AE" w14:textId="77777777" w:rsidR="009E5AE2" w:rsidRPr="009E5AE2" w:rsidRDefault="00D97AF7" w:rsidP="00D713B8">
      <w:pPr>
        <w:spacing w:line="240" w:lineRule="auto"/>
        <w:ind w:left="284" w:hanging="284"/>
        <w:rPr>
          <w:rStyle w:val="Hyperlink"/>
          <w:rFonts w:cs="Arial"/>
        </w:rPr>
      </w:pPr>
      <w:r w:rsidRPr="009E5AE2">
        <w:rPr>
          <w:rFonts w:cs="Arial"/>
          <w:lang w:val="es-ES"/>
        </w:rPr>
        <w:t xml:space="preserve">Asociación Nacional de Perfumería y Cosmética (STANPA) (2015). [Código de Autoregulación para una comunicación responsable en el sector de la perfumería y la cosmética. </w:t>
      </w:r>
      <w:r w:rsidRPr="009E5AE2">
        <w:rPr>
          <w:rFonts w:cs="Arial"/>
        </w:rPr>
        <w:t xml:space="preserve">Available at: </w:t>
      </w:r>
      <w:hyperlink r:id="rId215" w:history="1">
        <w:r w:rsidRPr="009E5AE2">
          <w:rPr>
            <w:rStyle w:val="Hyperlink"/>
            <w:rFonts w:cs="Arial"/>
          </w:rPr>
          <w:t>https://www.autocontrol.es/wp-content/uploads/2016/02/c%C2%A2digo-de-autorregulaci%C2%A2n-para-una-comunicaci%C2%A2n-responsable-en-el-sector-de-perfumer%C2%B0a-y-cosmctica-stanpa.pdf</w:t>
        </w:r>
      </w:hyperlink>
    </w:p>
    <w:p w14:paraId="02DFC660" w14:textId="77777777" w:rsidR="009E5AE2" w:rsidRPr="009E5AE2" w:rsidRDefault="00D97AF7" w:rsidP="009E5AE2">
      <w:pPr>
        <w:spacing w:line="240" w:lineRule="auto"/>
        <w:ind w:left="283" w:hanging="283"/>
        <w:rPr>
          <w:rStyle w:val="Hyperlink"/>
          <w:rFonts w:cs="Arial"/>
        </w:rPr>
      </w:pPr>
      <w:r w:rsidRPr="009E5AE2">
        <w:rPr>
          <w:rFonts w:cs="Arial"/>
          <w:lang w:val="es-ES"/>
        </w:rPr>
        <w:t xml:space="preserve">Asociación para el Autocuidado de la Salud (ANEFP) (2007, modified in 2020). Código de normas deontológicas para la comercialización, promoción y publicidad de medicamentos de autocuidado de la salud (Medicamentos no sujetos a prescripción y no financiados por el sistema nacional de salud. </w:t>
      </w:r>
      <w:r w:rsidRPr="009E5AE2">
        <w:rPr>
          <w:rFonts w:cs="Arial"/>
        </w:rPr>
        <w:t xml:space="preserve">Available at: </w:t>
      </w:r>
      <w:hyperlink r:id="rId216" w:history="1">
        <w:r w:rsidRPr="009E5AE2">
          <w:rPr>
            <w:rStyle w:val="Hyperlink"/>
            <w:rFonts w:cs="Arial"/>
          </w:rPr>
          <w:t>https://anefp.org/sites/default/files/2020-07/C%C3%B3digo-normas-deontologicas-anefp-menosreme_may2020_2.pdf</w:t>
        </w:r>
      </w:hyperlink>
    </w:p>
    <w:p w14:paraId="5DCA1582" w14:textId="77777777" w:rsidR="00FD428B" w:rsidRPr="00FD428B" w:rsidRDefault="00D97AF7" w:rsidP="009E5AE2">
      <w:pPr>
        <w:spacing w:line="240" w:lineRule="auto"/>
        <w:ind w:left="283" w:hanging="283"/>
      </w:pPr>
      <w:r w:rsidRPr="00FD428B">
        <w:t xml:space="preserve">Autocontrol (2024a). Quienes somos, </w:t>
      </w:r>
      <w:r w:rsidRPr="00FD428B">
        <w:rPr>
          <w:i/>
        </w:rPr>
        <w:t xml:space="preserve">Autocontrol </w:t>
      </w:r>
      <w:r w:rsidRPr="00FD428B">
        <w:t xml:space="preserve">Available from: </w:t>
      </w:r>
      <w:hyperlink r:id="rId217" w:history="1">
        <w:r w:rsidRPr="00FD428B">
          <w:rPr>
            <w:rStyle w:val="Hyperlink"/>
          </w:rPr>
          <w:t>https://www.autocontrol.es/autocontrol/quienes-somos/</w:t>
        </w:r>
      </w:hyperlink>
      <w:r w:rsidRPr="00FD428B">
        <w:t xml:space="preserve"> [Accessed: 07 February 2024]</w:t>
      </w:r>
    </w:p>
    <w:p w14:paraId="2CA804C1" w14:textId="77777777" w:rsidR="00FD428B" w:rsidRPr="00FD428B" w:rsidRDefault="00D97AF7" w:rsidP="00FD428B">
      <w:pPr>
        <w:spacing w:line="240" w:lineRule="auto"/>
        <w:ind w:left="283" w:hanging="283"/>
      </w:pPr>
      <w:r w:rsidRPr="00226934">
        <w:t xml:space="preserve">Autocontrol (2024b). Servicios. </w:t>
      </w:r>
      <w:r w:rsidRPr="00FD428B">
        <w:rPr>
          <w:i/>
        </w:rPr>
        <w:t>Autocontrol</w:t>
      </w:r>
      <w:r w:rsidRPr="00FD428B">
        <w:t xml:space="preserve"> Available from: </w:t>
      </w:r>
      <w:hyperlink r:id="rId218" w:history="1">
        <w:r w:rsidRPr="00FD428B">
          <w:rPr>
            <w:rStyle w:val="Hyperlink"/>
          </w:rPr>
          <w:t>https://www.autocontrol.es/servicios/</w:t>
        </w:r>
      </w:hyperlink>
      <w:r w:rsidRPr="00FD428B">
        <w:t xml:space="preserve">  </w:t>
      </w:r>
    </w:p>
    <w:p w14:paraId="44CB3981" w14:textId="77777777" w:rsidR="00FD428B" w:rsidRPr="00FD428B" w:rsidRDefault="00D97AF7" w:rsidP="00FD428B">
      <w:pPr>
        <w:spacing w:line="240" w:lineRule="auto"/>
        <w:ind w:left="283" w:hanging="283"/>
      </w:pPr>
      <w:r w:rsidRPr="00FD428B">
        <w:rPr>
          <w:lang w:val="es-ES"/>
        </w:rPr>
        <w:t xml:space="preserve">Autocontrol (2024c).Sello de Confianza Online. </w:t>
      </w:r>
      <w:r w:rsidRPr="00FD428B">
        <w:t xml:space="preserve">Autocontrol Available from: </w:t>
      </w:r>
      <w:hyperlink r:id="rId219" w:history="1">
        <w:r w:rsidRPr="00FD428B">
          <w:rPr>
            <w:rStyle w:val="Hyperlink"/>
          </w:rPr>
          <w:t>https://www.autocontrol.es/servicios/sello-confianza-online/</w:t>
        </w:r>
      </w:hyperlink>
      <w:r w:rsidRPr="00FD428B">
        <w:t xml:space="preserve"> </w:t>
      </w:r>
    </w:p>
    <w:p w14:paraId="4369D817" w14:textId="77777777" w:rsidR="00FD428B" w:rsidRPr="00FD428B" w:rsidRDefault="00D97AF7" w:rsidP="00FD428B">
      <w:pPr>
        <w:spacing w:line="240" w:lineRule="auto"/>
        <w:ind w:left="283" w:hanging="283"/>
      </w:pPr>
      <w:r w:rsidRPr="00FD428B">
        <w:rPr>
          <w:lang w:val="es-ES"/>
        </w:rPr>
        <w:lastRenderedPageBreak/>
        <w:t xml:space="preserve">Autocontrol (2024d). La Base de Datos de las Resoluciones del Jurado de la Publicidad. </w:t>
      </w:r>
      <w:r w:rsidRPr="00FD428B">
        <w:rPr>
          <w:i/>
        </w:rPr>
        <w:t>Autocontrol</w:t>
      </w:r>
      <w:r w:rsidRPr="00FD428B">
        <w:t xml:space="preserve"> Available from: </w:t>
      </w:r>
      <w:r w:rsidRPr="00FD428B">
        <w:rPr>
          <w:u w:val="single"/>
        </w:rPr>
        <w:t>https://www.autocontrol.es/servicios/bd-resoluciones/</w:t>
      </w:r>
      <w:r w:rsidRPr="00FD428B">
        <w:t xml:space="preserve"> </w:t>
      </w:r>
    </w:p>
    <w:p w14:paraId="4E93B61B" w14:textId="77777777" w:rsidR="00FD428B" w:rsidRPr="00FD428B" w:rsidRDefault="00D97AF7" w:rsidP="00FD428B">
      <w:pPr>
        <w:spacing w:line="240" w:lineRule="auto"/>
        <w:ind w:left="283" w:hanging="283"/>
        <w:rPr>
          <w:lang w:val="es-ES"/>
        </w:rPr>
      </w:pPr>
      <w:r w:rsidRPr="00FD428B">
        <w:rPr>
          <w:lang w:val="es-ES"/>
        </w:rPr>
        <w:t xml:space="preserve">Autocontrol (2024e). </w:t>
      </w:r>
      <w:r w:rsidRPr="00FD428B">
        <w:rPr>
          <w:i/>
          <w:lang w:val="es-ES"/>
        </w:rPr>
        <w:t>Auto</w:t>
      </w:r>
      <w:r w:rsidR="002E08FA">
        <w:rPr>
          <w:i/>
          <w:lang w:val="es-ES"/>
        </w:rPr>
        <w:t>con</w:t>
      </w:r>
      <w:r w:rsidRPr="00FD428B">
        <w:rPr>
          <w:i/>
          <w:lang w:val="es-ES"/>
        </w:rPr>
        <w:t>trol Estatutos</w:t>
      </w:r>
      <w:r w:rsidRPr="00FD428B">
        <w:rPr>
          <w:lang w:val="es-ES"/>
        </w:rPr>
        <w:t xml:space="preserve">. </w:t>
      </w:r>
      <w:hyperlink r:id="rId220" w:history="1">
        <w:r w:rsidRPr="00FD428B">
          <w:rPr>
            <w:rStyle w:val="Hyperlink"/>
            <w:lang w:val="es-ES"/>
          </w:rPr>
          <w:t>https://www.autocontrol.es/wp-content/uploads/2023/03/estatutos-autocontrol.pdf</w:t>
        </w:r>
      </w:hyperlink>
    </w:p>
    <w:p w14:paraId="13BE1C27" w14:textId="77777777" w:rsidR="00FD428B" w:rsidRPr="00FD428B" w:rsidRDefault="00D97AF7" w:rsidP="00FD428B">
      <w:pPr>
        <w:spacing w:line="240" w:lineRule="auto"/>
        <w:ind w:left="283" w:hanging="283"/>
        <w:rPr>
          <w:i/>
        </w:rPr>
      </w:pPr>
      <w:r w:rsidRPr="00FD428B">
        <w:rPr>
          <w:lang w:val="es-ES"/>
        </w:rPr>
        <w:t xml:space="preserve">Autocontrol (2024f). </w:t>
      </w:r>
      <w:r w:rsidRPr="00FD428B">
        <w:rPr>
          <w:i/>
          <w:lang w:val="es-ES"/>
        </w:rPr>
        <w:t>Auto</w:t>
      </w:r>
      <w:r w:rsidR="002E08FA">
        <w:rPr>
          <w:i/>
          <w:lang w:val="es-ES"/>
        </w:rPr>
        <w:t>con</w:t>
      </w:r>
      <w:r w:rsidRPr="00FD428B">
        <w:rPr>
          <w:i/>
          <w:lang w:val="es-ES"/>
        </w:rPr>
        <w:t xml:space="preserve">trol Código de conducta. </w:t>
      </w:r>
      <w:hyperlink r:id="rId221" w:history="1">
        <w:r w:rsidRPr="00FD428B">
          <w:rPr>
            <w:rStyle w:val="Hyperlink"/>
            <w:i/>
          </w:rPr>
          <w:t>https://www.autocontrol.es/wp-content/uploads/2021/05/codigo-de-conducta-publicitaria-autocontrol.pdf</w:t>
        </w:r>
      </w:hyperlink>
      <w:r w:rsidRPr="00FD428B">
        <w:rPr>
          <w:i/>
        </w:rPr>
        <w:t xml:space="preserve"> </w:t>
      </w:r>
    </w:p>
    <w:p w14:paraId="7F4ABEAF" w14:textId="77777777" w:rsidR="00FD428B" w:rsidRDefault="00D97AF7" w:rsidP="009E5AE2">
      <w:pPr>
        <w:spacing w:line="240" w:lineRule="auto"/>
        <w:ind w:left="284" w:hanging="284"/>
        <w:rPr>
          <w:lang w:val="es-ES"/>
        </w:rPr>
      </w:pPr>
      <w:r w:rsidRPr="00FD428B">
        <w:rPr>
          <w:lang w:val="es-ES"/>
        </w:rPr>
        <w:t xml:space="preserve">Autocontrol (2024g). Código de Conducta de Confianza Online. </w:t>
      </w:r>
      <w:hyperlink r:id="rId222" w:history="1">
        <w:r w:rsidRPr="00FD428B">
          <w:rPr>
            <w:rStyle w:val="Hyperlink"/>
            <w:lang w:val="es-ES"/>
          </w:rPr>
          <w:t>https://www.confianzaonline.es/doc/codigo_etico_confianzaonline.pdf</w:t>
        </w:r>
      </w:hyperlink>
      <w:r w:rsidRPr="00FD428B">
        <w:rPr>
          <w:lang w:val="es-ES"/>
        </w:rPr>
        <w:t xml:space="preserve"> </w:t>
      </w:r>
    </w:p>
    <w:p w14:paraId="71823A74" w14:textId="77777777" w:rsidR="009E5AE2" w:rsidRPr="00226934" w:rsidRDefault="00D97AF7" w:rsidP="009E5AE2">
      <w:pPr>
        <w:ind w:left="283" w:hanging="283"/>
        <w:rPr>
          <w:rStyle w:val="Hyperlink"/>
          <w:rFonts w:cs="Arial"/>
        </w:rPr>
      </w:pPr>
      <w:r w:rsidRPr="009E5AE2">
        <w:rPr>
          <w:rFonts w:cs="Arial"/>
          <w:lang w:val="es-ES"/>
        </w:rPr>
        <w:t xml:space="preserve">AUTOCONTROL (2024h). Reglamento del Jurado de la Publicidad. </w:t>
      </w:r>
      <w:hyperlink r:id="rId223" w:history="1">
        <w:r w:rsidRPr="00226934">
          <w:rPr>
            <w:rStyle w:val="Hyperlink"/>
            <w:rFonts w:cs="Arial"/>
          </w:rPr>
          <w:t>https://www.autocontrol.es/wp-content/uploads/2023/12/reglamento-del-jurado-de-la-publicidad-autocontrol.pdf</w:t>
        </w:r>
      </w:hyperlink>
    </w:p>
    <w:p w14:paraId="2C097026" w14:textId="77777777" w:rsidR="009E5AE2" w:rsidRPr="009E5AE2" w:rsidRDefault="00D97AF7" w:rsidP="002E08FA">
      <w:pPr>
        <w:spacing w:line="240" w:lineRule="auto"/>
        <w:ind w:left="284" w:hanging="284"/>
        <w:rPr>
          <w:rFonts w:cs="Arial"/>
        </w:rPr>
      </w:pPr>
      <w:r w:rsidRPr="009E5AE2">
        <w:rPr>
          <w:rFonts w:cs="Arial"/>
          <w:lang w:val="es-ES"/>
        </w:rPr>
        <w:t xml:space="preserve">AUTOCONTROL (2020, modified in 2023). Código de Tratamiento de la Actividad Publicitaria. </w:t>
      </w:r>
      <w:r w:rsidRPr="009E5AE2">
        <w:rPr>
          <w:rFonts w:cs="Arial"/>
        </w:rPr>
        <w:t xml:space="preserve">Available from: </w:t>
      </w:r>
      <w:hyperlink r:id="rId224" w:history="1">
        <w:r w:rsidRPr="009E5AE2">
          <w:rPr>
            <w:rStyle w:val="Hyperlink"/>
            <w:rFonts w:cs="Arial"/>
          </w:rPr>
          <w:t>https://www.autocontrol.es/wp-content/uploads/2023/10/codigo-de-conducta-proteccion-de-datos-autocontrol.pdf</w:t>
        </w:r>
      </w:hyperlink>
      <w:r w:rsidRPr="009E5AE2">
        <w:rPr>
          <w:rFonts w:cs="Arial"/>
        </w:rPr>
        <w:t xml:space="preserve"> </w:t>
      </w:r>
    </w:p>
    <w:p w14:paraId="01202CF6" w14:textId="77777777" w:rsidR="009E5AE2" w:rsidRPr="009E5AE2" w:rsidRDefault="00D97AF7" w:rsidP="002E08FA">
      <w:pPr>
        <w:spacing w:line="240" w:lineRule="auto"/>
        <w:ind w:left="284" w:hanging="284"/>
        <w:rPr>
          <w:rFonts w:cs="Arial"/>
        </w:rPr>
      </w:pPr>
      <w:r w:rsidRPr="009E5AE2">
        <w:rPr>
          <w:rFonts w:cs="Arial"/>
        </w:rPr>
        <w:t xml:space="preserve">AUTOCONTROL (2012, modified in 2019) Code of Conduct on Commercial Communications for Gambling Activities [Código de Códucta sobre Comunicaciones de las Actividades del Juego]. Available at: </w:t>
      </w:r>
      <w:hyperlink r:id="rId225" w:history="1">
        <w:r w:rsidRPr="009E5AE2">
          <w:rPr>
            <w:rStyle w:val="Hyperlink"/>
            <w:rFonts w:cs="Arial"/>
          </w:rPr>
          <w:t>https://www.autocontrol.es/wp-content/uploads/2020/01/anexo-i-nueva-version-codigo-de-juego.pdf</w:t>
        </w:r>
      </w:hyperlink>
      <w:r w:rsidRPr="009E5AE2">
        <w:rPr>
          <w:rFonts w:cs="Arial"/>
        </w:rPr>
        <w:t xml:space="preserve"> </w:t>
      </w:r>
    </w:p>
    <w:p w14:paraId="4A6993F6" w14:textId="77777777" w:rsidR="009E5AE2" w:rsidRPr="009E5AE2" w:rsidRDefault="00D97AF7" w:rsidP="002E08FA">
      <w:pPr>
        <w:spacing w:line="240" w:lineRule="auto"/>
        <w:ind w:left="284" w:hanging="284"/>
        <w:rPr>
          <w:rFonts w:cs="Arial"/>
        </w:rPr>
      </w:pPr>
      <w:r w:rsidRPr="009E5AE2">
        <w:rPr>
          <w:rFonts w:cs="Arial"/>
          <w:lang w:val="es-ES"/>
        </w:rPr>
        <w:t xml:space="preserve">AUTOCONTROL (2006 modified in 2022). Código Ético del Sector de la Tecnología Sanitaria. </w:t>
      </w:r>
      <w:r w:rsidRPr="009E5AE2">
        <w:rPr>
          <w:rFonts w:cs="Arial"/>
        </w:rPr>
        <w:t xml:space="preserve">Available at: </w:t>
      </w:r>
      <w:hyperlink r:id="rId226" w:history="1">
        <w:r w:rsidRPr="009E5AE2">
          <w:rPr>
            <w:rStyle w:val="Hyperlink"/>
            <w:rFonts w:cs="Arial"/>
          </w:rPr>
          <w:t>https://www.autocontrol.es/wp-content/uploads/2023/02/codigo_fenin.pdf</w:t>
        </w:r>
      </w:hyperlink>
      <w:r w:rsidRPr="009E5AE2">
        <w:rPr>
          <w:rFonts w:cs="Arial"/>
        </w:rPr>
        <w:t xml:space="preserve"> </w:t>
      </w:r>
    </w:p>
    <w:p w14:paraId="4F5E1FDB" w14:textId="77777777" w:rsidR="009E5AE2" w:rsidRPr="009E5AE2" w:rsidRDefault="00D97AF7" w:rsidP="002E08FA">
      <w:pPr>
        <w:spacing w:line="240" w:lineRule="auto"/>
        <w:ind w:left="284" w:hanging="284"/>
        <w:rPr>
          <w:rFonts w:cs="Arial"/>
        </w:rPr>
      </w:pPr>
      <w:r w:rsidRPr="009E5AE2">
        <w:rPr>
          <w:rFonts w:cs="Arial"/>
        </w:rPr>
        <w:t xml:space="preserve">AUTOCONTROL AUTOCONTROL, (2005b modified in 2012) Code of Co-regulation of Advertising for Food and Beverages Targeted at Children, Obesity Prevention, and Health [Código de Corregulación de la publicidad de alimentos y bebidas dirigida a menores, prevención de la obesidad y salud. (Código PAOS)] by the Spanish Federation of Food and Beverage Industries. Available:  </w:t>
      </w:r>
      <w:hyperlink r:id="rId227" w:history="1">
        <w:r w:rsidRPr="009E5AE2">
          <w:rPr>
            <w:rStyle w:val="Hyperlink"/>
            <w:rFonts w:cs="Arial"/>
          </w:rPr>
          <w:t>https://www.autocontrol.es/wp-content/uploads/2016/02/c%C2%A2digo-paos.pdf</w:t>
        </w:r>
      </w:hyperlink>
      <w:r w:rsidRPr="009E5AE2">
        <w:rPr>
          <w:rFonts w:cs="Arial"/>
        </w:rPr>
        <w:t xml:space="preserve"> </w:t>
      </w:r>
    </w:p>
    <w:p w14:paraId="68F8F18B" w14:textId="77777777" w:rsidR="009E5AE2" w:rsidRPr="00FD428B" w:rsidRDefault="00D97AF7" w:rsidP="00FD428B">
      <w:pPr>
        <w:spacing w:line="240" w:lineRule="auto"/>
        <w:ind w:left="283" w:hanging="283"/>
      </w:pPr>
      <w:r w:rsidRPr="009E5AE2">
        <w:rPr>
          <w:lang w:val="es-ES"/>
        </w:rPr>
        <w:t xml:space="preserve">BOE (2024). Código de Derecho de la Publicidad. </w:t>
      </w:r>
      <w:r w:rsidRPr="009E5AE2">
        <w:t xml:space="preserve">Available from: </w:t>
      </w:r>
      <w:hyperlink r:id="rId228" w:history="1">
        <w:r w:rsidRPr="009E5AE2">
          <w:rPr>
            <w:rStyle w:val="Hyperlink"/>
          </w:rPr>
          <w:t>https://www.boe.es/biblioteca_juridica/codigos/codigo.php?id=248&amp;modo=2&amp;nota=0&amp;tab=2</w:t>
        </w:r>
      </w:hyperlink>
    </w:p>
    <w:p w14:paraId="31574B4C" w14:textId="77777777" w:rsidR="00FD428B" w:rsidRPr="00FD428B" w:rsidRDefault="00D97AF7" w:rsidP="00FD428B">
      <w:pPr>
        <w:spacing w:line="240" w:lineRule="auto"/>
        <w:ind w:left="283" w:hanging="283"/>
        <w:rPr>
          <w:i/>
        </w:rPr>
      </w:pPr>
      <w:r w:rsidRPr="00FD428B">
        <w:rPr>
          <w:lang w:val="es-ES"/>
        </w:rPr>
        <w:t>BOE (2023a).</w:t>
      </w:r>
      <w:r w:rsidRPr="00FD428B">
        <w:rPr>
          <w:i/>
          <w:lang w:val="es-ES"/>
        </w:rPr>
        <w:t xml:space="preserve"> Ley 34/1988, de 11 de noviembre, General de Publicidad. </w:t>
      </w:r>
      <w:r w:rsidRPr="00FD428B">
        <w:t>Available from:</w:t>
      </w:r>
      <w:r w:rsidRPr="00FD428B">
        <w:rPr>
          <w:i/>
        </w:rPr>
        <w:t xml:space="preserve"> </w:t>
      </w:r>
      <w:hyperlink r:id="rId229" w:history="1">
        <w:r w:rsidRPr="00FD428B">
          <w:rPr>
            <w:rStyle w:val="Hyperlink"/>
            <w:i/>
          </w:rPr>
          <w:t>https://www.boe.es/buscar/act.php?id=BOE-A-1988-26156</w:t>
        </w:r>
      </w:hyperlink>
      <w:r w:rsidRPr="00FD428B">
        <w:rPr>
          <w:i/>
        </w:rPr>
        <w:t xml:space="preserve"> </w:t>
      </w:r>
    </w:p>
    <w:p w14:paraId="7CF0685D" w14:textId="77777777" w:rsidR="00FD428B" w:rsidRPr="00FD428B" w:rsidRDefault="00D97AF7" w:rsidP="00FD428B">
      <w:pPr>
        <w:spacing w:line="240" w:lineRule="auto"/>
        <w:ind w:left="283" w:hanging="283"/>
        <w:rPr>
          <w:i/>
        </w:rPr>
      </w:pPr>
      <w:r w:rsidRPr="00FD428B">
        <w:rPr>
          <w:lang w:val="es-ES"/>
        </w:rPr>
        <w:t>BOE (2023b).</w:t>
      </w:r>
      <w:r w:rsidRPr="00FD428B">
        <w:rPr>
          <w:i/>
          <w:lang w:val="es-ES"/>
        </w:rPr>
        <w:t xml:space="preserve"> Real Decreto Legislativo 1/2007, de 16 de noviembre, por el que se aprueba el texto refundido de la Ley General para la Defensa de los Consumidores y Usuarios y otras leyes complementarias</w:t>
      </w:r>
      <w:r w:rsidRPr="00FD428B">
        <w:rPr>
          <w:lang w:val="es-ES"/>
        </w:rPr>
        <w:t xml:space="preserve">. </w:t>
      </w:r>
      <w:r w:rsidRPr="00FD428B">
        <w:t xml:space="preserve">Available from :https://www.boe.es/buscar/act.php?id=BOE-A-2007-20555 </w:t>
      </w:r>
    </w:p>
    <w:p w14:paraId="2DE0BC1C" w14:textId="77777777" w:rsidR="00FD428B" w:rsidRPr="00FD428B" w:rsidRDefault="00D97AF7" w:rsidP="00FD428B">
      <w:pPr>
        <w:spacing w:line="240" w:lineRule="auto"/>
        <w:ind w:left="283" w:hanging="283"/>
        <w:rPr>
          <w:i/>
          <w:u w:val="single"/>
        </w:rPr>
      </w:pPr>
      <w:r w:rsidRPr="00FD428B">
        <w:rPr>
          <w:lang w:val="es-ES"/>
        </w:rPr>
        <w:t xml:space="preserve">BOE (2022a). </w:t>
      </w:r>
      <w:r w:rsidRPr="00FD428B">
        <w:rPr>
          <w:i/>
          <w:lang w:val="es-ES"/>
        </w:rPr>
        <w:t xml:space="preserve">Ley 13/2022, de 7 de julio, General de Comunicación Audiovisual. </w:t>
      </w:r>
      <w:hyperlink r:id="rId230" w:history="1">
        <w:r w:rsidRPr="00FD428B">
          <w:rPr>
            <w:rStyle w:val="Hyperlink"/>
            <w:i/>
          </w:rPr>
          <w:t>https://www.boe.es/diario_boe/txt.php?id=BOE-A-2022-11311</w:t>
        </w:r>
      </w:hyperlink>
    </w:p>
    <w:p w14:paraId="219D4F9F" w14:textId="77777777" w:rsidR="00FD428B" w:rsidRPr="00FD428B" w:rsidRDefault="00D97AF7" w:rsidP="00FD428B">
      <w:pPr>
        <w:spacing w:line="240" w:lineRule="auto"/>
        <w:ind w:left="283" w:hanging="283"/>
        <w:rPr>
          <w:i/>
          <w:u w:val="single"/>
        </w:rPr>
      </w:pPr>
      <w:r w:rsidRPr="00FD428B">
        <w:rPr>
          <w:lang w:val="es-ES"/>
        </w:rPr>
        <w:t xml:space="preserve">BOE (2022b). Ley 13/2011, de 27 de mayo, de regulación del juego. </w:t>
      </w:r>
      <w:hyperlink r:id="rId231" w:history="1">
        <w:r w:rsidRPr="00FD428B">
          <w:rPr>
            <w:rStyle w:val="Hyperlink"/>
          </w:rPr>
          <w:t>https://www.boe.es/buscar/act.php?id=BOE-A-2011-9280</w:t>
        </w:r>
      </w:hyperlink>
      <w:r w:rsidRPr="00FD428B">
        <w:t xml:space="preserve"> </w:t>
      </w:r>
    </w:p>
    <w:p w14:paraId="2B044B3F" w14:textId="77777777" w:rsidR="00FD428B" w:rsidRPr="00FD428B" w:rsidRDefault="00D97AF7" w:rsidP="00FD428B">
      <w:pPr>
        <w:spacing w:line="240" w:lineRule="auto"/>
        <w:ind w:left="283" w:hanging="283"/>
        <w:rPr>
          <w:i/>
        </w:rPr>
      </w:pPr>
      <w:r w:rsidRPr="00FD428B">
        <w:rPr>
          <w:lang w:val="es-ES"/>
        </w:rPr>
        <w:t xml:space="preserve">BOE (2021). </w:t>
      </w:r>
      <w:r w:rsidRPr="00FD428B">
        <w:rPr>
          <w:i/>
          <w:lang w:val="es-ES"/>
        </w:rPr>
        <w:t xml:space="preserve">Real Decreto-ley 24/2021, de 2 de noviembre, de transposición de directivas de la Unión Europea en las materias de bonos garantizados, distribución transfronteriza de organismos de inversión colectiva, datos abiertos y reutilización de la información del sector público, ejercicio de derechos de autor y derechos afines aplicables a determinadas transmisiones en línea y a las retransmisiones de programas de radio y televisión, exenciones temporales a determinadas importaciones y suministros, de personas consumidoras y para la promoción de vehículos de transporte por carretera limpios y energéticamente eficientes. </w:t>
      </w:r>
      <w:hyperlink r:id="rId232" w:history="1">
        <w:r w:rsidRPr="00FD428B">
          <w:rPr>
            <w:rStyle w:val="Hyperlink"/>
            <w:i/>
          </w:rPr>
          <w:t>https://www.boe.es/buscar/act.php?id=BOE-A-2021-17910</w:t>
        </w:r>
      </w:hyperlink>
      <w:r w:rsidRPr="00FD428B">
        <w:rPr>
          <w:i/>
        </w:rPr>
        <w:t xml:space="preserve"> </w:t>
      </w:r>
    </w:p>
    <w:p w14:paraId="5EC78A79" w14:textId="77777777" w:rsidR="002E08FA" w:rsidRPr="002E08FA" w:rsidRDefault="00D97AF7" w:rsidP="002E08FA">
      <w:pPr>
        <w:spacing w:line="240" w:lineRule="auto"/>
        <w:ind w:left="283" w:hanging="283"/>
      </w:pPr>
      <w:r w:rsidRPr="002E08FA">
        <w:rPr>
          <w:lang w:val="es-ES"/>
        </w:rPr>
        <w:t xml:space="preserve">BOE (2020a). </w:t>
      </w:r>
      <w:r w:rsidRPr="002E08FA">
        <w:rPr>
          <w:i/>
          <w:lang w:val="es-ES"/>
        </w:rPr>
        <w:t xml:space="preserve">Circular 4/2020, de 26 de junio, del Banco de España, sobre publicidad de los productos y servicios bancarios. </w:t>
      </w:r>
      <w:r w:rsidRPr="002E08FA">
        <w:t xml:space="preserve">Available from: </w:t>
      </w:r>
      <w:hyperlink r:id="rId233" w:history="1">
        <w:r w:rsidRPr="002E08FA">
          <w:rPr>
            <w:rStyle w:val="Hyperlink"/>
          </w:rPr>
          <w:t>https://www.boe.es/eli/es/cir/2020/06/26/4/con</w:t>
        </w:r>
      </w:hyperlink>
      <w:r w:rsidRPr="002E08FA">
        <w:t xml:space="preserve"> </w:t>
      </w:r>
    </w:p>
    <w:p w14:paraId="281834F3" w14:textId="77777777" w:rsidR="002E08FA" w:rsidRPr="00226934" w:rsidRDefault="00D97AF7" w:rsidP="002E08FA">
      <w:pPr>
        <w:spacing w:line="240" w:lineRule="auto"/>
        <w:ind w:left="283" w:hanging="283"/>
      </w:pPr>
      <w:r w:rsidRPr="002E08FA">
        <w:t xml:space="preserve">BOE (2020b). </w:t>
      </w:r>
      <w:r w:rsidRPr="002E08FA">
        <w:rPr>
          <w:lang w:val="es-ES"/>
        </w:rPr>
        <w:t xml:space="preserve">Real Decreto 958/2020, de 3 de noviembre, de comunicaciones comerciales de las actividades de juego. </w:t>
      </w:r>
      <w:r w:rsidRPr="002E08FA">
        <w:t xml:space="preserve">Available from: </w:t>
      </w:r>
      <w:hyperlink r:id="rId234" w:anchor="refpost" w:history="1">
        <w:r w:rsidRPr="002E08FA">
          <w:rPr>
            <w:rStyle w:val="Hyperlink"/>
          </w:rPr>
          <w:t>https://www.boe.es/buscar/doc.php?id=BOE-A-2020-13495&amp;orden=conte#refpost</w:t>
        </w:r>
      </w:hyperlink>
    </w:p>
    <w:p w14:paraId="43B424D2" w14:textId="77777777" w:rsidR="002E08FA" w:rsidRDefault="00D97AF7" w:rsidP="00FD428B">
      <w:pPr>
        <w:spacing w:line="240" w:lineRule="auto"/>
        <w:ind w:left="283" w:hanging="283"/>
        <w:rPr>
          <w:lang w:val="es-ES"/>
        </w:rPr>
      </w:pPr>
      <w:r w:rsidRPr="00FD428B">
        <w:rPr>
          <w:lang w:val="es-ES"/>
        </w:rPr>
        <w:lastRenderedPageBreak/>
        <w:t>BO</w:t>
      </w:r>
      <w:r>
        <w:rPr>
          <w:lang w:val="es-ES"/>
        </w:rPr>
        <w:t>E</w:t>
      </w:r>
      <w:r w:rsidRPr="00FD428B">
        <w:rPr>
          <w:lang w:val="es-ES"/>
        </w:rPr>
        <w:t xml:space="preserve"> (2020</w:t>
      </w:r>
      <w:r>
        <w:rPr>
          <w:lang w:val="es-ES"/>
        </w:rPr>
        <w:t>c*</w:t>
      </w:r>
      <w:r w:rsidRPr="00FD428B">
        <w:rPr>
          <w:lang w:val="es-ES"/>
        </w:rPr>
        <w:t xml:space="preserve">). Orden EHA/1718/2010, de 11 de junio, de regulación y control de la publicidad de los servicios y productos bancarios </w:t>
      </w:r>
      <w:hyperlink r:id="rId235" w:history="1">
        <w:r w:rsidRPr="00FD428B">
          <w:rPr>
            <w:rStyle w:val="Hyperlink"/>
            <w:lang w:val="es-ES"/>
          </w:rPr>
          <w:t>https://www.boe.es/buscar/act.php?id=BOE-A-2010-10315</w:t>
        </w:r>
      </w:hyperlink>
      <w:r w:rsidRPr="00FD428B">
        <w:rPr>
          <w:lang w:val="es-ES"/>
        </w:rPr>
        <w:t>BOE. (2018)</w:t>
      </w:r>
      <w:r w:rsidRPr="00FD428B">
        <w:rPr>
          <w:i/>
          <w:lang w:val="es-ES"/>
        </w:rPr>
        <w:t>.</w:t>
      </w:r>
      <w:r w:rsidRPr="00FD428B">
        <w:rPr>
          <w:lang w:val="es-ES"/>
        </w:rPr>
        <w:t xml:space="preserve"> </w:t>
      </w:r>
      <w:r w:rsidRPr="00FD428B">
        <w:rPr>
          <w:i/>
          <w:lang w:val="es-ES"/>
        </w:rPr>
        <w:t>Ley 17/2011, de 5 de julio, de seguridad alimentaria y nutrición</w:t>
      </w:r>
      <w:r w:rsidRPr="00FD428B">
        <w:rPr>
          <w:lang w:val="es-ES"/>
        </w:rPr>
        <w:t xml:space="preserve">. </w:t>
      </w:r>
      <w:hyperlink r:id="rId236" w:history="1">
        <w:r w:rsidRPr="00FD428B">
          <w:rPr>
            <w:rStyle w:val="Hyperlink"/>
            <w:lang w:val="es-ES"/>
          </w:rPr>
          <w:t>https://www.boe.es/buscar/act.php?id=BOE-A-2011-11604</w:t>
        </w:r>
      </w:hyperlink>
      <w:r w:rsidRPr="00FD428B">
        <w:rPr>
          <w:lang w:val="es-ES"/>
        </w:rPr>
        <w:t xml:space="preserve"> </w:t>
      </w:r>
      <w:bookmarkStart w:id="27" w:name="_heading=h.l9o221ep1bs9" w:colFirst="0" w:colLast="0"/>
      <w:bookmarkEnd w:id="27"/>
    </w:p>
    <w:p w14:paraId="70F55E42" w14:textId="77777777" w:rsidR="002E08FA" w:rsidRPr="00226934" w:rsidRDefault="00D97AF7" w:rsidP="002E08FA">
      <w:pPr>
        <w:spacing w:line="240" w:lineRule="auto"/>
        <w:ind w:left="283" w:hanging="283"/>
      </w:pPr>
      <w:r w:rsidRPr="002E08FA">
        <w:rPr>
          <w:lang w:val="es-ES"/>
        </w:rPr>
        <w:t xml:space="preserve">BOE (2015). Real Decreto Legislativo 1/2015, de 24 de julio, por el que se aprueba el texto refundido de la Ley de garantías y uso racional de los medicamentos y productos sanitarios. </w:t>
      </w:r>
      <w:r w:rsidRPr="00226934">
        <w:t xml:space="preserve">Available from: </w:t>
      </w:r>
      <w:hyperlink r:id="rId237" w:history="1">
        <w:r w:rsidRPr="00226934">
          <w:rPr>
            <w:rStyle w:val="Hyperlink"/>
          </w:rPr>
          <w:t>https://www.boe.es/eli/es/rdlg/2015/07/24/1/con</w:t>
        </w:r>
      </w:hyperlink>
      <w:r w:rsidRPr="00226934">
        <w:t xml:space="preserve"> </w:t>
      </w:r>
    </w:p>
    <w:p w14:paraId="102DFF3E" w14:textId="77777777" w:rsidR="00FD428B" w:rsidRPr="00FD428B" w:rsidRDefault="00D97AF7" w:rsidP="00FD428B">
      <w:pPr>
        <w:spacing w:line="240" w:lineRule="auto"/>
        <w:ind w:left="283" w:hanging="283"/>
      </w:pPr>
      <w:r w:rsidRPr="00226934">
        <w:t>BOE (2014)</w:t>
      </w:r>
      <w:r w:rsidRPr="00226934">
        <w:rPr>
          <w:i/>
        </w:rPr>
        <w:t>.</w:t>
      </w:r>
      <w:r w:rsidR="002E08FA" w:rsidRPr="00226934">
        <w:rPr>
          <w:i/>
        </w:rPr>
        <w:t xml:space="preserve"> </w:t>
      </w:r>
      <w:r w:rsidRPr="00FD428B">
        <w:rPr>
          <w:i/>
          <w:lang w:val="es-ES"/>
        </w:rPr>
        <w:t>Ley 3/2014, de 27 de marzo, por la que se modifica el texto refundido de la Ley General para la Defensa de los Consumidores y Usuarios y otras leyes complementarias, aprobado por el Real Decreto Legislativo 1/2007, de 16 de noviembre</w:t>
      </w:r>
      <w:r w:rsidRPr="00FD428B">
        <w:rPr>
          <w:lang w:val="es-ES"/>
        </w:rPr>
        <w:t xml:space="preserve">. </w:t>
      </w:r>
      <w:hyperlink r:id="rId238" w:history="1">
        <w:r w:rsidRPr="00FD428B">
          <w:rPr>
            <w:rStyle w:val="Hyperlink"/>
          </w:rPr>
          <w:t>https://www.boe.es/buscar/doc.php?id=BOE-A-2014-3329</w:t>
        </w:r>
      </w:hyperlink>
      <w:r w:rsidRPr="00FD428B">
        <w:t xml:space="preserve"> </w:t>
      </w:r>
    </w:p>
    <w:p w14:paraId="4FA5AB57" w14:textId="77777777" w:rsidR="00FD428B" w:rsidRDefault="00D97AF7" w:rsidP="00FD428B">
      <w:pPr>
        <w:spacing w:line="240" w:lineRule="auto"/>
        <w:ind w:left="283" w:hanging="283"/>
        <w:rPr>
          <w:i/>
        </w:rPr>
      </w:pPr>
      <w:bookmarkStart w:id="28" w:name="_heading=h.2whmacr98j5a" w:colFirst="0" w:colLast="0"/>
      <w:bookmarkEnd w:id="28"/>
      <w:r w:rsidRPr="00FD428B">
        <w:rPr>
          <w:lang w:val="es-ES"/>
        </w:rPr>
        <w:t>BOE. (2013)</w:t>
      </w:r>
      <w:r w:rsidRPr="00FD428B">
        <w:rPr>
          <w:i/>
          <w:lang w:val="es-ES"/>
        </w:rPr>
        <w:t xml:space="preserve">. Directiva 2013/11/UE del Parlamento Europeo y del Consejo, de 21 de mayo de 2013, relativa a la resolución alternativa de litigios en materia de consumo y por la que se modifica el Reglamento (CE) nº 2006/2004 y la Directiva 2009/22/CE (Directiva sobre resolución alternativa de litigios en materia de consumo). </w:t>
      </w:r>
      <w:hyperlink r:id="rId239" w:history="1">
        <w:r w:rsidRPr="00FD428B">
          <w:rPr>
            <w:rStyle w:val="Hyperlink"/>
            <w:i/>
          </w:rPr>
          <w:t>https://www.boe.es/buscar/doc.php?id=DOUE-L-2013-81187</w:t>
        </w:r>
      </w:hyperlink>
      <w:r w:rsidRPr="00FD428B">
        <w:rPr>
          <w:i/>
        </w:rPr>
        <w:t xml:space="preserve"> </w:t>
      </w:r>
    </w:p>
    <w:p w14:paraId="21AAFCD4" w14:textId="77777777" w:rsidR="002E08FA" w:rsidRPr="00226934" w:rsidRDefault="00D97AF7" w:rsidP="002E08FA">
      <w:pPr>
        <w:spacing w:line="240" w:lineRule="auto"/>
        <w:ind w:left="283" w:hanging="283"/>
        <w:rPr>
          <w:iCs/>
          <w:u w:val="single"/>
        </w:rPr>
      </w:pPr>
      <w:r w:rsidRPr="002E08FA">
        <w:rPr>
          <w:iCs/>
          <w:lang w:val="es-ES"/>
        </w:rPr>
        <w:t xml:space="preserve">BOE. (2011a). Ley 17/2011, de 5 de julio, de seguridad alimentaria y nutrición. </w:t>
      </w:r>
      <w:hyperlink r:id="rId240" w:history="1">
        <w:r w:rsidRPr="00226934">
          <w:rPr>
            <w:rStyle w:val="Hyperlink"/>
            <w:iCs/>
          </w:rPr>
          <w:t>https://www.boe.es/buscar/act.php?id=BOE-A-2010-10315</w:t>
        </w:r>
      </w:hyperlink>
      <w:r w:rsidRPr="00226934">
        <w:rPr>
          <w:iCs/>
          <w:u w:val="single"/>
        </w:rPr>
        <w:t xml:space="preserve"> </w:t>
      </w:r>
    </w:p>
    <w:p w14:paraId="37B20AC9" w14:textId="77777777" w:rsidR="002E08FA" w:rsidRPr="002E08FA" w:rsidRDefault="00D97AF7" w:rsidP="002E08FA">
      <w:pPr>
        <w:spacing w:line="240" w:lineRule="auto"/>
        <w:ind w:left="283" w:hanging="283"/>
        <w:rPr>
          <w:iCs/>
        </w:rPr>
      </w:pPr>
      <w:r w:rsidRPr="002E08FA">
        <w:rPr>
          <w:iCs/>
          <w:lang w:val="es-ES"/>
        </w:rPr>
        <w:t xml:space="preserve">BOE. (2011b). Ley 13/2011, de 27 de mayo, de regulación del juego. </w:t>
      </w:r>
      <w:hyperlink r:id="rId241" w:history="1">
        <w:r w:rsidRPr="002E08FA">
          <w:rPr>
            <w:rStyle w:val="Hyperlink"/>
            <w:iCs/>
          </w:rPr>
          <w:t>https://www.boe.es/buscar/act.php?id=BOE-A-2011-9280</w:t>
        </w:r>
      </w:hyperlink>
    </w:p>
    <w:p w14:paraId="44549C95" w14:textId="77777777" w:rsidR="00FD428B" w:rsidRDefault="00D97AF7" w:rsidP="00FD428B">
      <w:pPr>
        <w:spacing w:line="240" w:lineRule="auto"/>
        <w:ind w:left="283" w:hanging="283"/>
      </w:pPr>
      <w:bookmarkStart w:id="29" w:name="_heading=h.lx9a5fc8uez3" w:colFirst="0" w:colLast="0"/>
      <w:bookmarkEnd w:id="29"/>
      <w:r w:rsidRPr="00FD428B">
        <w:rPr>
          <w:lang w:val="es-ES"/>
        </w:rPr>
        <w:t>BOE. (2010</w:t>
      </w:r>
      <w:r w:rsidR="002E08FA">
        <w:rPr>
          <w:lang w:val="es-ES"/>
        </w:rPr>
        <w:t>a</w:t>
      </w:r>
      <w:r w:rsidRPr="00FD428B">
        <w:rPr>
          <w:lang w:val="es-ES"/>
        </w:rPr>
        <w:t>)</w:t>
      </w:r>
      <w:r w:rsidRPr="00FD428B">
        <w:rPr>
          <w:i/>
          <w:lang w:val="es-ES"/>
        </w:rPr>
        <w:t xml:space="preserve">.  </w:t>
      </w:r>
      <w:hyperlink r:id="rId242" w:history="1">
        <w:r w:rsidRPr="00FD428B">
          <w:rPr>
            <w:rStyle w:val="Hyperlink"/>
            <w:i/>
            <w:lang w:val="es-ES"/>
          </w:rPr>
          <w:t>https://www.boe.es/eli/es/l/2009/12/30/29</w:t>
        </w:r>
      </w:hyperlink>
      <w:r w:rsidRPr="00FD428B">
        <w:rPr>
          <w:i/>
          <w:lang w:val="es-ES"/>
        </w:rPr>
        <w:t xml:space="preserve"> Ley 42/2010, de 30 de diciembre, por la que se modifica la Ley 28/2005, de 26 de diciembre, de medidas sanitarias frente al tabaquismo y reguladora de la venta, el suministro, el consumo y la publicidad de los productos del tabaco</w:t>
      </w:r>
      <w:r w:rsidRPr="00FD428B">
        <w:rPr>
          <w:lang w:val="es-ES"/>
        </w:rPr>
        <w:t xml:space="preserve">. </w:t>
      </w:r>
      <w:hyperlink r:id="rId243" w:history="1">
        <w:r w:rsidRPr="00FD428B">
          <w:rPr>
            <w:rStyle w:val="Hyperlink"/>
          </w:rPr>
          <w:t>https://www.boe.es/buscar/act.php?id=BOE-A-2010-20138</w:t>
        </w:r>
      </w:hyperlink>
      <w:r w:rsidRPr="00FD428B">
        <w:t xml:space="preserve"> </w:t>
      </w:r>
    </w:p>
    <w:p w14:paraId="7D07D89E" w14:textId="77777777" w:rsidR="002E08FA" w:rsidRPr="002E08FA" w:rsidRDefault="00D97AF7" w:rsidP="002E08FA">
      <w:pPr>
        <w:spacing w:line="240" w:lineRule="auto"/>
        <w:ind w:left="283" w:hanging="283"/>
        <w:rPr>
          <w:u w:val="single"/>
          <w:lang w:val="es-ES"/>
        </w:rPr>
      </w:pPr>
      <w:r w:rsidRPr="002E08FA">
        <w:rPr>
          <w:lang w:val="es-ES"/>
        </w:rPr>
        <w:t xml:space="preserve">BOE. (2010b). Orden EHA/1718/2010, de 11 de junio, de regulación y control de la publicidad de los servicios y productos bancarios </w:t>
      </w:r>
      <w:hyperlink r:id="rId244" w:history="1">
        <w:r w:rsidRPr="002E08FA">
          <w:rPr>
            <w:rStyle w:val="Hyperlink"/>
            <w:lang w:val="es-ES"/>
          </w:rPr>
          <w:t>https://www.boe.es/buscar/act.php?id=BOE-A-2010-10315</w:t>
        </w:r>
      </w:hyperlink>
    </w:p>
    <w:p w14:paraId="310E1318" w14:textId="77777777" w:rsidR="00FD428B" w:rsidRPr="00FD428B" w:rsidRDefault="00D97AF7" w:rsidP="00FD428B">
      <w:pPr>
        <w:spacing w:line="240" w:lineRule="auto"/>
        <w:ind w:left="283" w:hanging="283"/>
        <w:rPr>
          <w:i/>
          <w:lang w:val="es-ES"/>
        </w:rPr>
      </w:pPr>
      <w:r w:rsidRPr="00FD428B">
        <w:rPr>
          <w:lang w:val="es-ES"/>
        </w:rPr>
        <w:t>BOE. (2009).</w:t>
      </w:r>
      <w:r w:rsidRPr="00FD428B">
        <w:rPr>
          <w:i/>
          <w:lang w:val="es-ES"/>
        </w:rPr>
        <w:t xml:space="preserve"> Ley 29/2009, de 30 de diciembre, por la que se modifica el régimen legal de la competencia desleal y de la publicidad para la mejora de la protección de los consumidores y usuarios.  </w:t>
      </w:r>
      <w:hyperlink r:id="rId245" w:history="1">
        <w:r w:rsidRPr="00FD428B">
          <w:rPr>
            <w:rStyle w:val="Hyperlink"/>
            <w:i/>
            <w:lang w:val="es-ES"/>
          </w:rPr>
          <w:t>https://www.boe.es/eli/es/l/2009/12/30/29</w:t>
        </w:r>
      </w:hyperlink>
      <w:r w:rsidRPr="00FD428B">
        <w:rPr>
          <w:i/>
          <w:lang w:val="es-ES"/>
        </w:rPr>
        <w:t xml:space="preserve"> </w:t>
      </w:r>
    </w:p>
    <w:p w14:paraId="03FF5691" w14:textId="77777777" w:rsidR="002E08FA" w:rsidRPr="002E08FA" w:rsidRDefault="00D97AF7" w:rsidP="002E08FA">
      <w:pPr>
        <w:spacing w:line="240" w:lineRule="auto"/>
        <w:ind w:left="283" w:hanging="283"/>
      </w:pPr>
      <w:r w:rsidRPr="002E08FA">
        <w:rPr>
          <w:lang w:val="es-ES"/>
        </w:rPr>
        <w:t>BOE. (2007).</w:t>
      </w:r>
      <w:r w:rsidRPr="002E08FA">
        <w:rPr>
          <w:i/>
          <w:lang w:val="es-ES"/>
        </w:rPr>
        <w:t xml:space="preserve"> Real Decreto Legislativo 1/2007, de 16 de noviembre, por el que se aprueba el texto refundido de la Ley General para la Defensa de los Consumidores y Usuarios y otras leyes complementarias</w:t>
      </w:r>
      <w:r w:rsidRPr="002E08FA">
        <w:rPr>
          <w:lang w:val="es-ES"/>
        </w:rPr>
        <w:t xml:space="preserve">. </w:t>
      </w:r>
      <w:r w:rsidRPr="002E08FA">
        <w:t xml:space="preserve">Available from: </w:t>
      </w:r>
      <w:hyperlink r:id="rId246" w:history="1">
        <w:r w:rsidRPr="002E08FA">
          <w:rPr>
            <w:rStyle w:val="Hyperlink"/>
          </w:rPr>
          <w:t>https://www.boe.es/eli/es/rdlg/2007/11/16/1/con</w:t>
        </w:r>
      </w:hyperlink>
      <w:r w:rsidRPr="002E08FA">
        <w:t xml:space="preserve"> </w:t>
      </w:r>
    </w:p>
    <w:p w14:paraId="75A899CB" w14:textId="77777777" w:rsidR="00FD428B" w:rsidRPr="00FD428B" w:rsidRDefault="00D97AF7" w:rsidP="00FD428B">
      <w:pPr>
        <w:spacing w:line="240" w:lineRule="auto"/>
        <w:ind w:left="283" w:hanging="283"/>
        <w:rPr>
          <w:i/>
        </w:rPr>
      </w:pPr>
      <w:r w:rsidRPr="00226934">
        <w:t xml:space="preserve">BOE. (2002). </w:t>
      </w:r>
      <w:r w:rsidRPr="00FD428B">
        <w:rPr>
          <w:lang w:val="es-ES"/>
        </w:rPr>
        <w:t xml:space="preserve">Ley 39/2002, de 28 de octubre, de transposición al ordenamiento jurídico español de diversas directivas comunitarias en materia de protección de los intereses de los consumidores y usuarios. </w:t>
      </w:r>
      <w:hyperlink r:id="rId247" w:history="1">
        <w:r w:rsidRPr="00FD428B">
          <w:rPr>
            <w:rStyle w:val="Hyperlink"/>
          </w:rPr>
          <w:t>https://www.boe.es/buscar/doc.php?id=BOE-A-2002-20855</w:t>
        </w:r>
      </w:hyperlink>
      <w:r w:rsidRPr="00FD428B">
        <w:t xml:space="preserve"> </w:t>
      </w:r>
      <w:r w:rsidRPr="00FD428B">
        <w:rPr>
          <w:i/>
        </w:rPr>
        <w:t xml:space="preserve"> </w:t>
      </w:r>
    </w:p>
    <w:p w14:paraId="6020E586" w14:textId="77777777" w:rsidR="002E08FA" w:rsidRPr="002E08FA" w:rsidRDefault="00D97AF7" w:rsidP="002E08FA">
      <w:pPr>
        <w:spacing w:line="240" w:lineRule="auto"/>
        <w:ind w:left="283" w:hanging="283"/>
      </w:pPr>
      <w:r w:rsidRPr="00226934">
        <w:rPr>
          <w:lang w:val="es-ES"/>
        </w:rPr>
        <w:t xml:space="preserve">BOE. (2001). </w:t>
      </w:r>
      <w:r w:rsidRPr="002E08FA">
        <w:rPr>
          <w:lang w:val="es-ES"/>
        </w:rPr>
        <w:t xml:space="preserve">Ley 17/2001, de 7 de diciembre, de Marcas. </w:t>
      </w:r>
      <w:r w:rsidRPr="002E08FA">
        <w:t xml:space="preserve">Available from: </w:t>
      </w:r>
      <w:hyperlink r:id="rId248" w:history="1">
        <w:r w:rsidRPr="002E08FA">
          <w:rPr>
            <w:rStyle w:val="Hyperlink"/>
          </w:rPr>
          <w:t>https://www.boe.es/buscar/doc.php?id=BOE-A-2002-20855</w:t>
        </w:r>
      </w:hyperlink>
      <w:r w:rsidRPr="002E08FA">
        <w:t xml:space="preserve"> </w:t>
      </w:r>
    </w:p>
    <w:p w14:paraId="69122B5B" w14:textId="77777777" w:rsidR="00FD428B" w:rsidRPr="00FD428B" w:rsidRDefault="00D97AF7" w:rsidP="00FD428B">
      <w:pPr>
        <w:spacing w:line="240" w:lineRule="auto"/>
        <w:ind w:left="283" w:hanging="283"/>
      </w:pPr>
      <w:r w:rsidRPr="00FD428B">
        <w:rPr>
          <w:lang w:val="es-ES"/>
        </w:rPr>
        <w:t xml:space="preserve">BOE. (1999) </w:t>
      </w:r>
      <w:r w:rsidRPr="00FD428B">
        <w:rPr>
          <w:i/>
          <w:lang w:val="es-ES"/>
        </w:rPr>
        <w:t xml:space="preserve">Real Decreto 1334/1999, de 31 de julio, por el que se aprueba la Norma general de etiquetado, presentación y publicidad de los productos alimenticios. </w:t>
      </w:r>
      <w:hyperlink r:id="rId249" w:history="1">
        <w:r w:rsidRPr="00FD428B">
          <w:rPr>
            <w:rStyle w:val="Hyperlink"/>
            <w:i/>
          </w:rPr>
          <w:t>https://www.boe.es/buscar/doc.php?id=BOE-A-1999-17996</w:t>
        </w:r>
      </w:hyperlink>
      <w:r w:rsidRPr="00FD428B">
        <w:rPr>
          <w:i/>
        </w:rPr>
        <w:t xml:space="preserve"> </w:t>
      </w:r>
    </w:p>
    <w:p w14:paraId="79162E8D" w14:textId="77777777" w:rsidR="00FD428B" w:rsidRPr="00FD428B" w:rsidRDefault="00D97AF7" w:rsidP="00FD428B">
      <w:pPr>
        <w:spacing w:line="240" w:lineRule="auto"/>
        <w:ind w:left="283" w:hanging="283"/>
        <w:rPr>
          <w:i/>
        </w:rPr>
      </w:pPr>
      <w:r w:rsidRPr="00FD428B">
        <w:rPr>
          <w:lang w:val="es-ES"/>
        </w:rPr>
        <w:t>BOE. (1996</w:t>
      </w:r>
      <w:r w:rsidR="002E08FA">
        <w:rPr>
          <w:lang w:val="es-ES"/>
        </w:rPr>
        <w:t>a</w:t>
      </w:r>
      <w:r w:rsidRPr="00FD428B">
        <w:rPr>
          <w:lang w:val="es-ES"/>
        </w:rPr>
        <w:t xml:space="preserve">). Real Decreto 1907/1996, de 2 de agosto, sobre publicidad y promoción comercial de productos, actividades o servicios con pretendida finalidad sanitaria. </w:t>
      </w:r>
      <w:hyperlink r:id="rId250" w:history="1">
        <w:r w:rsidRPr="00FD428B">
          <w:rPr>
            <w:rStyle w:val="Hyperlink"/>
          </w:rPr>
          <w:t>https://www.boe.es/buscar/doc.php?id=BOE-A-1996-18085</w:t>
        </w:r>
      </w:hyperlink>
      <w:r w:rsidRPr="00FD428B">
        <w:t xml:space="preserve"> </w:t>
      </w:r>
      <w:r w:rsidRPr="00FD428B">
        <w:rPr>
          <w:i/>
        </w:rPr>
        <w:t xml:space="preserve"> </w:t>
      </w:r>
    </w:p>
    <w:p w14:paraId="6304D806" w14:textId="77777777" w:rsidR="002E08FA" w:rsidRPr="002E08FA" w:rsidRDefault="00D97AF7" w:rsidP="002E08FA">
      <w:pPr>
        <w:spacing w:line="240" w:lineRule="auto"/>
        <w:ind w:left="283" w:hanging="283"/>
      </w:pPr>
      <w:r w:rsidRPr="002E08FA">
        <w:rPr>
          <w:lang w:val="es-ES"/>
        </w:rPr>
        <w:t xml:space="preserve">BOE. (1996b). Real Decreto Legislativo 1/1996, de 12 de abril, por el que se aprueba el texto refundido de la Ley de Propiedad Intelectual, regularizando, aclarando y armonizando las disposiciones legales vigentes sobre la materia. </w:t>
      </w:r>
      <w:r w:rsidRPr="002E08FA">
        <w:t xml:space="preserve">Available from: </w:t>
      </w:r>
      <w:hyperlink r:id="rId251" w:history="1">
        <w:r w:rsidRPr="002E08FA">
          <w:rPr>
            <w:rStyle w:val="Hyperlink"/>
          </w:rPr>
          <w:t>https://www.boe.es/buscar/act.php?id=BOE-A-1996-8930</w:t>
        </w:r>
      </w:hyperlink>
      <w:r w:rsidRPr="002E08FA">
        <w:t xml:space="preserve"> </w:t>
      </w:r>
    </w:p>
    <w:p w14:paraId="4BE0414F" w14:textId="77777777" w:rsidR="00FD428B" w:rsidRPr="00FD428B" w:rsidRDefault="00D97AF7" w:rsidP="002E08FA">
      <w:pPr>
        <w:spacing w:line="240" w:lineRule="auto"/>
        <w:ind w:left="283" w:hanging="283"/>
        <w:rPr>
          <w:i/>
        </w:rPr>
      </w:pPr>
      <w:r w:rsidRPr="002E08FA">
        <w:rPr>
          <w:lang w:val="es-ES"/>
        </w:rPr>
        <w:t xml:space="preserve">BOE. (1994) Real Decreto 1416/1994, de 25 de junio, por el que se regula la publicidad de los medicamentos </w:t>
      </w:r>
      <w:r w:rsidRPr="00FD428B">
        <w:rPr>
          <w:lang w:val="es-ES"/>
        </w:rPr>
        <w:t>BOE. (1994).</w:t>
      </w:r>
      <w:r w:rsidRPr="00FD428B">
        <w:rPr>
          <w:i/>
          <w:lang w:val="es-ES"/>
        </w:rPr>
        <w:t xml:space="preserve"> Real Decreto 1416/1994, de 25 de junio, por el que se regula la publicidad de los medicamentos de uso humano. </w:t>
      </w:r>
      <w:hyperlink r:id="rId252" w:history="1">
        <w:r w:rsidRPr="00FD428B">
          <w:rPr>
            <w:rStyle w:val="Hyperlink"/>
            <w:i/>
          </w:rPr>
          <w:t>https://www.boe.es/buscar/doc.php?id=BOE-A-1994-17681</w:t>
        </w:r>
      </w:hyperlink>
      <w:r w:rsidRPr="00FD428B">
        <w:rPr>
          <w:i/>
        </w:rPr>
        <w:t xml:space="preserve"> </w:t>
      </w:r>
    </w:p>
    <w:p w14:paraId="75365973" w14:textId="77777777" w:rsidR="00FD428B" w:rsidRPr="00FD428B" w:rsidRDefault="00D97AF7" w:rsidP="00FD428B">
      <w:pPr>
        <w:spacing w:line="240" w:lineRule="auto"/>
        <w:ind w:left="283" w:hanging="283"/>
        <w:rPr>
          <w:i/>
        </w:rPr>
      </w:pPr>
      <w:r w:rsidRPr="00FD428B">
        <w:rPr>
          <w:lang w:val="es-ES"/>
        </w:rPr>
        <w:lastRenderedPageBreak/>
        <w:t>BOE. (1991).</w:t>
      </w:r>
      <w:r w:rsidRPr="00FD428B">
        <w:rPr>
          <w:i/>
          <w:lang w:val="es-ES"/>
        </w:rPr>
        <w:t xml:space="preserve"> Ley 3/1991, de 10 de enero, de Competencia Desleal. </w:t>
      </w:r>
      <w:hyperlink r:id="rId253" w:history="1">
        <w:r w:rsidRPr="00FD428B">
          <w:rPr>
            <w:rStyle w:val="Hyperlink"/>
            <w:i/>
          </w:rPr>
          <w:t>https://www.boe.es/buscar/doc.php?id=BOE-A-1991-628</w:t>
        </w:r>
      </w:hyperlink>
      <w:r w:rsidRPr="00FD428B">
        <w:rPr>
          <w:i/>
        </w:rPr>
        <w:t xml:space="preserve"> </w:t>
      </w:r>
    </w:p>
    <w:p w14:paraId="4112843E" w14:textId="77777777" w:rsidR="002E08FA" w:rsidRPr="002E08FA" w:rsidRDefault="00D97AF7" w:rsidP="002E08FA">
      <w:pPr>
        <w:spacing w:line="240" w:lineRule="auto"/>
        <w:ind w:left="283" w:hanging="283"/>
        <w:rPr>
          <w:i/>
        </w:rPr>
      </w:pPr>
      <w:r w:rsidRPr="002E08FA">
        <w:rPr>
          <w:lang w:val="es-ES"/>
        </w:rPr>
        <w:t>BOE. (1988).</w:t>
      </w:r>
      <w:r w:rsidRPr="002E08FA">
        <w:rPr>
          <w:i/>
          <w:lang w:val="es-ES"/>
        </w:rPr>
        <w:t xml:space="preserve"> Ley 34/1988, de 11 de noviembre, General de Publicidad. </w:t>
      </w:r>
      <w:r w:rsidRPr="002E08FA">
        <w:rPr>
          <w:lang w:val="en-US"/>
        </w:rPr>
        <w:t>Available from:</w:t>
      </w:r>
      <w:r w:rsidRPr="002E08FA">
        <w:rPr>
          <w:i/>
          <w:lang w:val="en-US"/>
        </w:rPr>
        <w:t xml:space="preserve"> </w:t>
      </w:r>
      <w:hyperlink r:id="rId254" w:history="1">
        <w:r w:rsidRPr="002E08FA">
          <w:rPr>
            <w:rStyle w:val="Hyperlink"/>
            <w:i/>
          </w:rPr>
          <w:t>https://www.boe.es/buscar/act.php?id=BOE-A-1988-26156</w:t>
        </w:r>
      </w:hyperlink>
      <w:r w:rsidRPr="002E08FA">
        <w:rPr>
          <w:i/>
        </w:rPr>
        <w:t xml:space="preserve"> </w:t>
      </w:r>
    </w:p>
    <w:p w14:paraId="7E6814EA" w14:textId="77777777" w:rsidR="002E08FA" w:rsidRPr="002E08FA" w:rsidRDefault="00D97AF7" w:rsidP="002E08FA">
      <w:pPr>
        <w:spacing w:line="240" w:lineRule="auto"/>
        <w:ind w:left="283" w:hanging="283"/>
      </w:pPr>
      <w:r w:rsidRPr="002E08FA">
        <w:rPr>
          <w:lang w:val="es-ES"/>
        </w:rPr>
        <w:t xml:space="preserve">BOE. (1982). Ley Orgánica 1/1982, de 5 de mayo, de protección civil del derecho al honor, a la intimidad personal y familiar y a la propia imagen. </w:t>
      </w:r>
      <w:r w:rsidRPr="002E08FA">
        <w:t xml:space="preserve">Available from: </w:t>
      </w:r>
      <w:hyperlink r:id="rId255" w:history="1">
        <w:r w:rsidRPr="002E08FA">
          <w:rPr>
            <w:rStyle w:val="Hyperlink"/>
          </w:rPr>
          <w:t>https://www.boe.es/eli/es/lo/1982/05/05/1/con</w:t>
        </w:r>
      </w:hyperlink>
      <w:r w:rsidRPr="002E08FA">
        <w:t xml:space="preserve"> </w:t>
      </w:r>
    </w:p>
    <w:p w14:paraId="79F73F67" w14:textId="77777777" w:rsidR="002E08FA" w:rsidRPr="002E08FA" w:rsidRDefault="00D97AF7" w:rsidP="002E08FA">
      <w:pPr>
        <w:spacing w:line="240" w:lineRule="auto"/>
        <w:ind w:left="283" w:hanging="283"/>
      </w:pPr>
      <w:r w:rsidRPr="002E08FA">
        <w:t xml:space="preserve">BOE (1978). Constitución Espñola. Available at: </w:t>
      </w:r>
      <w:hyperlink r:id="rId256" w:history="1">
        <w:r w:rsidRPr="002E08FA">
          <w:rPr>
            <w:rStyle w:val="Hyperlink"/>
          </w:rPr>
          <w:t>https://www.boe.es/buscar/act.php?id=BOE-A-1978-31229</w:t>
        </w:r>
      </w:hyperlink>
      <w:r w:rsidRPr="002E08FA">
        <w:t xml:space="preserve"> (Accessed on the 2</w:t>
      </w:r>
      <w:r w:rsidRPr="002E08FA">
        <w:rPr>
          <w:vertAlign w:val="superscript"/>
        </w:rPr>
        <w:t>nd</w:t>
      </w:r>
      <w:r w:rsidRPr="002E08FA">
        <w:t xml:space="preserve"> of April 2024).</w:t>
      </w:r>
    </w:p>
    <w:p w14:paraId="1D484FED" w14:textId="77777777" w:rsidR="002E08FA" w:rsidRPr="002E08FA" w:rsidRDefault="00D97AF7" w:rsidP="00FD428B">
      <w:pPr>
        <w:spacing w:line="240" w:lineRule="auto"/>
        <w:ind w:left="283" w:hanging="283"/>
        <w:rPr>
          <w:rStyle w:val="Hyperlink"/>
          <w:rFonts w:cs="Arial"/>
        </w:rPr>
      </w:pPr>
      <w:r w:rsidRPr="002E08FA">
        <w:rPr>
          <w:rFonts w:cs="Arial"/>
          <w:lang w:val="es-ES"/>
        </w:rPr>
        <w:t xml:space="preserve">CERVECEROS (2003, modified in 2009). Código de Autorregulación Publicitaria de Cerveceros de España. </w:t>
      </w:r>
      <w:r w:rsidRPr="002E08FA">
        <w:rPr>
          <w:rFonts w:cs="Arial"/>
        </w:rPr>
        <w:t xml:space="preserve">Available at: </w:t>
      </w:r>
      <w:hyperlink r:id="rId257" w:history="1">
        <w:r w:rsidRPr="002E08FA">
          <w:rPr>
            <w:rStyle w:val="Hyperlink"/>
            <w:rFonts w:cs="Arial"/>
          </w:rPr>
          <w:t>https://www.autocontrol.es/wp-content/uploads/2016/02/c%C2%A2digo-de-autorregulaci%C2%A2n-publicitaria-de-cerveceros-de-espa%C2%A7a-cerveceros.pdf</w:t>
        </w:r>
      </w:hyperlink>
    </w:p>
    <w:p w14:paraId="7A2EF429" w14:textId="77777777" w:rsidR="00FD428B" w:rsidRPr="00FD428B" w:rsidRDefault="00D97AF7" w:rsidP="00FD428B">
      <w:pPr>
        <w:spacing w:line="240" w:lineRule="auto"/>
        <w:ind w:left="283" w:hanging="283"/>
      </w:pPr>
      <w:r w:rsidRPr="00FD428B">
        <w:t xml:space="preserve">CIA (Central Itelligence Agency). 2023. Spain Europe. </w:t>
      </w:r>
      <w:r w:rsidRPr="00FD428B">
        <w:rPr>
          <w:i/>
        </w:rPr>
        <w:t>he World Factbook</w:t>
      </w:r>
      <w:r w:rsidRPr="00FD428B">
        <w:t xml:space="preserve">. Virginia: CIA. Available from: </w:t>
      </w:r>
      <w:hyperlink r:id="rId258" w:history="1">
        <w:r w:rsidRPr="00FD428B">
          <w:rPr>
            <w:rStyle w:val="Hyperlink"/>
          </w:rPr>
          <w:t>https://www.cia.gov/the-world-factbook/countries/spain/</w:t>
        </w:r>
      </w:hyperlink>
      <w:r w:rsidRPr="00FD428B">
        <w:t xml:space="preserve"> (Accessed: 6 February 2024).</w:t>
      </w:r>
    </w:p>
    <w:p w14:paraId="7659CA84" w14:textId="77777777" w:rsidR="00487100" w:rsidRPr="00487100" w:rsidRDefault="00D97AF7" w:rsidP="00487100">
      <w:pPr>
        <w:spacing w:line="240" w:lineRule="auto"/>
        <w:ind w:left="283" w:hanging="283"/>
      </w:pPr>
      <w:r w:rsidRPr="00FD428B">
        <w:t xml:space="preserve">CIA (Central Intelligence Agency). 2022. Spain, Europe. </w:t>
      </w:r>
      <w:r w:rsidRPr="00FD428B">
        <w:rPr>
          <w:i/>
        </w:rPr>
        <w:t>The World Factbook</w:t>
      </w:r>
      <w:r w:rsidRPr="00FD428B">
        <w:t>. Virginia: CIA. Available from: https://www.cia.gov/the-world-factbook/ (accessed: 12 December 2022).</w:t>
      </w:r>
    </w:p>
    <w:p w14:paraId="6DBB3372" w14:textId="77777777" w:rsidR="00EE5A20" w:rsidRPr="00226934" w:rsidRDefault="00D97AF7" w:rsidP="00EE5A20">
      <w:pPr>
        <w:spacing w:line="240" w:lineRule="auto"/>
        <w:ind w:left="283" w:hanging="283"/>
      </w:pPr>
      <w:r w:rsidRPr="00EE5A20">
        <w:rPr>
          <w:lang w:val="es-ES"/>
        </w:rPr>
        <w:t xml:space="preserve">Consejo de Ministros (03 November 2020). </w:t>
      </w:r>
      <w:r w:rsidRPr="00EE5A20">
        <w:rPr>
          <w:i/>
          <w:lang w:val="es-ES"/>
        </w:rPr>
        <w:t>Real Decreto de comunicaciones comerciales de las actividades del juego</w:t>
      </w:r>
      <w:r w:rsidRPr="00EE5A20">
        <w:rPr>
          <w:lang w:val="es-ES"/>
        </w:rPr>
        <w:t xml:space="preserve">. </w:t>
      </w:r>
      <w:r w:rsidRPr="00226934">
        <w:t xml:space="preserve">La Moncloa. Available from: </w:t>
      </w:r>
      <w:hyperlink r:id="rId259" w:history="1">
        <w:r w:rsidRPr="00226934">
          <w:rPr>
            <w:rStyle w:val="Hyperlink"/>
          </w:rPr>
          <w:t>https://www.lamoncloa.gob.es/consejodeministros/Paginas/enlaces/031120-enlace-juego.aspx</w:t>
        </w:r>
      </w:hyperlink>
      <w:r w:rsidRPr="00226934">
        <w:t xml:space="preserve">  </w:t>
      </w:r>
    </w:p>
    <w:p w14:paraId="41B1823E" w14:textId="77777777" w:rsidR="00487100" w:rsidRPr="00FD428B" w:rsidRDefault="00D97AF7" w:rsidP="00487100">
      <w:pPr>
        <w:spacing w:line="240" w:lineRule="auto"/>
        <w:ind w:left="283" w:hanging="283"/>
        <w:rPr>
          <w:lang w:val="en-US"/>
        </w:rPr>
      </w:pPr>
      <w:r w:rsidRPr="65C97D40">
        <w:rPr>
          <w:lang w:val="en-US"/>
        </w:rPr>
        <w:t xml:space="preserve">DataGuidance. (2023). </w:t>
      </w:r>
      <w:r w:rsidRPr="65C97D40">
        <w:rPr>
          <w:i/>
          <w:iCs/>
          <w:lang w:val="en-US"/>
        </w:rPr>
        <w:t>EU: Personalized Advertising in Europe and Legal Consequences in Line with Recent Regulations</w:t>
      </w:r>
      <w:r w:rsidRPr="65C97D40">
        <w:rPr>
          <w:lang w:val="en-US"/>
        </w:rPr>
        <w:t xml:space="preserve">. Available:  </w:t>
      </w:r>
      <w:hyperlink r:id="rId260" w:history="1">
        <w:r w:rsidRPr="65C97D40">
          <w:rPr>
            <w:rStyle w:val="Hyperlink"/>
            <w:lang w:val="en-US"/>
          </w:rPr>
          <w:t>https://www.dataguidance.com/opinion/eu-personalized-advertising-europe-and-legal</w:t>
        </w:r>
      </w:hyperlink>
      <w:r w:rsidRPr="65C97D40">
        <w:rPr>
          <w:lang w:val="en-US"/>
        </w:rPr>
        <w:t xml:space="preserve"> (accessed: 14 May 2024).</w:t>
      </w:r>
    </w:p>
    <w:p w14:paraId="51DE58AB" w14:textId="77777777" w:rsidR="00FD428B" w:rsidRDefault="00D97AF7" w:rsidP="00FD428B">
      <w:pPr>
        <w:spacing w:line="240" w:lineRule="auto"/>
        <w:ind w:left="283" w:hanging="283"/>
        <w:rPr>
          <w:lang w:val="es-ES"/>
        </w:rPr>
      </w:pPr>
      <w:r w:rsidRPr="00FD428B">
        <w:t xml:space="preserve">Estave Sanz, M. (2021). ‘Spain’, in Jordan, P. and Butcher, A. (ed.) </w:t>
      </w:r>
      <w:r w:rsidRPr="00FD428B">
        <w:rPr>
          <w:i/>
        </w:rPr>
        <w:t>International Advertising Law: A Practical Global Guide</w:t>
      </w:r>
      <w:r w:rsidRPr="00FD428B">
        <w:t xml:space="preserve">. </w:t>
      </w:r>
      <w:r w:rsidRPr="007E02F3">
        <w:rPr>
          <w:lang w:val="es-ES"/>
        </w:rPr>
        <w:t xml:space="preserve">Surrey: Globe Law and Business. </w:t>
      </w:r>
      <w:r w:rsidRPr="00FD428B">
        <w:rPr>
          <w:lang w:val="es-ES"/>
        </w:rPr>
        <w:t>513-540.</w:t>
      </w:r>
    </w:p>
    <w:p w14:paraId="59FC7149" w14:textId="77777777" w:rsidR="00EE5A20" w:rsidRPr="00EE5A20" w:rsidRDefault="00D97AF7" w:rsidP="00EE5A20">
      <w:pPr>
        <w:spacing w:line="240" w:lineRule="auto"/>
        <w:ind w:left="283" w:hanging="283"/>
      </w:pPr>
      <w:r w:rsidRPr="00EE5A20">
        <w:rPr>
          <w:lang w:val="es-ES"/>
        </w:rPr>
        <w:t xml:space="preserve">Espirituosos España (2003, modified in 2023)- Código de Autoregulación Publicitaria  de Espirituosos España. </w:t>
      </w:r>
      <w:r w:rsidRPr="00EE5A20">
        <w:t xml:space="preserve">Available at: </w:t>
      </w:r>
      <w:hyperlink r:id="rId261" w:history="1">
        <w:r w:rsidRPr="00EE5A20">
          <w:rPr>
            <w:rStyle w:val="Hyperlink"/>
          </w:rPr>
          <w:t>https://www.autocontrol.es/wp-content/uploads/2024/01/codigo-autorregulacion-publicitaria-espirituosos.pdf</w:t>
        </w:r>
      </w:hyperlink>
      <w:r w:rsidRPr="00EE5A20">
        <w:t xml:space="preserve"> </w:t>
      </w:r>
    </w:p>
    <w:p w14:paraId="4492DD34" w14:textId="77777777" w:rsidR="00EE5A20" w:rsidRPr="00EE5A20" w:rsidRDefault="00D97AF7" w:rsidP="00EE5A20">
      <w:pPr>
        <w:spacing w:line="240" w:lineRule="auto"/>
        <w:ind w:left="283" w:hanging="283"/>
      </w:pPr>
      <w:r w:rsidRPr="00EE5A20">
        <w:t xml:space="preserve">Eur-Lex (2022b) </w:t>
      </w:r>
      <w:r w:rsidRPr="00EE5A20">
        <w:rPr>
          <w:i/>
        </w:rPr>
        <w:t>Regulation (EU) 2022/2065 of the European Parliament and of the Council of 19 October 2022 on a Single Market for Digital Services and amending Directive 2000/31/EC (Digital Services Act)</w:t>
      </w:r>
      <w:r w:rsidRPr="00EE5A20">
        <w:t xml:space="preserve">, </w:t>
      </w:r>
      <w:r w:rsidRPr="00EE5A20">
        <w:rPr>
          <w:i/>
        </w:rPr>
        <w:t>Eur-Lex</w:t>
      </w:r>
      <w:r w:rsidRPr="00EE5A20">
        <w:t xml:space="preserve"> Available from: </w:t>
      </w:r>
      <w:hyperlink r:id="rId262" w:history="1">
        <w:r w:rsidRPr="00EE5A20">
          <w:rPr>
            <w:rStyle w:val="Hyperlink"/>
          </w:rPr>
          <w:t>https://eur-lex.europa.eu/legal-content/EN/TXT/?uri=celex%3A32022R2065</w:t>
        </w:r>
      </w:hyperlink>
      <w:r w:rsidRPr="00EE5A20">
        <w:t xml:space="preserve"> (Accessed on the 2</w:t>
      </w:r>
      <w:r w:rsidRPr="00EE5A20">
        <w:rPr>
          <w:vertAlign w:val="superscript"/>
        </w:rPr>
        <w:t>nd</w:t>
      </w:r>
      <w:r w:rsidRPr="00EE5A20">
        <w:t xml:space="preserve"> April 2024)</w:t>
      </w:r>
    </w:p>
    <w:p w14:paraId="513CEC01" w14:textId="77777777" w:rsidR="00EE5A20" w:rsidRPr="00EE5A20" w:rsidRDefault="00D97AF7" w:rsidP="00EE5A20">
      <w:pPr>
        <w:spacing w:line="240" w:lineRule="auto"/>
        <w:ind w:left="283" w:hanging="283"/>
      </w:pPr>
      <w:r w:rsidRPr="00EE5A20">
        <w:t xml:space="preserve">Eur-Lex (2022c) </w:t>
      </w:r>
      <w:r w:rsidRPr="00EE5A20">
        <w:rPr>
          <w:i/>
        </w:rPr>
        <w:t xml:space="preserve">Regulation (EU) 2022/1925 of the European Parliament and of the Council of 14 September 2022 on contestable and fair markets in the digital sector and amending Directives (EU) 2019/1937 and (EU) 2020/1828 (Digital Markets Act) (Text with EEA relevance), Eur-Lex. </w:t>
      </w:r>
      <w:r w:rsidRPr="00EE5A20">
        <w:t xml:space="preserve">Available from: </w:t>
      </w:r>
      <w:hyperlink r:id="rId263" w:history="1">
        <w:r w:rsidRPr="00EE5A20">
          <w:rPr>
            <w:rStyle w:val="Hyperlink"/>
          </w:rPr>
          <w:t>https://eur-lex.europa.eu/legal-content/EN/TXT/?uri=CELEX%3A32022R1925&amp;qid=1711734996552</w:t>
        </w:r>
      </w:hyperlink>
      <w:r w:rsidRPr="00EE5A20">
        <w:t xml:space="preserve"> (2024) (Accessed on 3</w:t>
      </w:r>
      <w:r w:rsidRPr="00EE5A20">
        <w:rPr>
          <w:vertAlign w:val="superscript"/>
        </w:rPr>
        <w:t>rd</w:t>
      </w:r>
      <w:r w:rsidRPr="00EE5A20">
        <w:t xml:space="preserve"> of April, 2024)</w:t>
      </w:r>
    </w:p>
    <w:p w14:paraId="2936D395" w14:textId="77777777" w:rsidR="00EE5A20" w:rsidRPr="00EE5A20" w:rsidRDefault="00D97AF7" w:rsidP="00EE5A20">
      <w:pPr>
        <w:spacing w:line="240" w:lineRule="auto"/>
        <w:ind w:left="283" w:hanging="283"/>
      </w:pPr>
      <w:r w:rsidRPr="00EE5A20">
        <w:t xml:space="preserve">Eur-Lex (2018) </w:t>
      </w:r>
      <w:r w:rsidRPr="00EE5A20">
        <w:rPr>
          <w:i/>
        </w:rPr>
        <w:t xml:space="preserve">Directive (EU) 2018/1808 of the European Parliament and of the Council of 14 November 2018 amending Directive 2010/13/EU on the coordination of certain provisions laid down by law, regulation or administrative action in Member States concerning the provision of audiovisual media services (Audiovisual Media Services Directive) in view of changing market realities, Eur-Lex. </w:t>
      </w:r>
      <w:r w:rsidRPr="00EE5A20">
        <w:t xml:space="preserve">Available from: </w:t>
      </w:r>
      <w:hyperlink r:id="rId264" w:history="1">
        <w:r w:rsidRPr="00EE5A20">
          <w:rPr>
            <w:rStyle w:val="Hyperlink"/>
          </w:rPr>
          <w:t>https://eur-lex.europa.eu/eli/dir/2018/1808/oj</w:t>
        </w:r>
      </w:hyperlink>
      <w:r w:rsidRPr="00EE5A20">
        <w:t xml:space="preserve"> (Accessed on 3</w:t>
      </w:r>
      <w:r w:rsidRPr="00EE5A20">
        <w:rPr>
          <w:vertAlign w:val="superscript"/>
        </w:rPr>
        <w:t>rd</w:t>
      </w:r>
      <w:r w:rsidRPr="00EE5A20">
        <w:t xml:space="preserve"> of April, 2024)</w:t>
      </w:r>
    </w:p>
    <w:p w14:paraId="375FC037" w14:textId="77777777" w:rsidR="00EE5A20" w:rsidRPr="00EE5A20" w:rsidRDefault="00D97AF7" w:rsidP="00EE5A20">
      <w:pPr>
        <w:spacing w:line="240" w:lineRule="auto"/>
        <w:ind w:left="283" w:hanging="283"/>
      </w:pPr>
      <w:r w:rsidRPr="00EE5A20">
        <w:t xml:space="preserve">Eur-Lex (2016) </w:t>
      </w:r>
      <w:r w:rsidRPr="00EE5A20">
        <w:rPr>
          <w:i/>
        </w:rPr>
        <w:t>Directive (EU) 2016/680 of the European Parliament and of the Council of 27 April 2016 on the protection of natural persons with regard to the processing of personal data by competent authorities for the purposes of the prevention, investigation, detection or prosecution of criminal offences or the execution of criminal penalties, and on the free movement of such data, and repealing Council Framework Decision 2008/977/JHA</w:t>
      </w:r>
      <w:r w:rsidRPr="00EE5A20">
        <w:t xml:space="preserve"> </w:t>
      </w:r>
      <w:r w:rsidRPr="00EE5A20">
        <w:rPr>
          <w:i/>
        </w:rPr>
        <w:t xml:space="preserve">, Eur-Lex. </w:t>
      </w:r>
      <w:r w:rsidRPr="00EE5A20">
        <w:t xml:space="preserve">Available from:  </w:t>
      </w:r>
      <w:hyperlink r:id="rId265" w:history="1">
        <w:r w:rsidRPr="00EE5A20">
          <w:rPr>
            <w:rStyle w:val="Hyperlink"/>
          </w:rPr>
          <w:t>https://eur-lex.europa.eu/legal-content/EN/TXT/?uri=CELEX%3A32016L0680&amp;qid=1711735527088</w:t>
        </w:r>
      </w:hyperlink>
      <w:r w:rsidRPr="00EE5A20">
        <w:t xml:space="preserve"> (Accessed on 3</w:t>
      </w:r>
      <w:r w:rsidRPr="00EE5A20">
        <w:rPr>
          <w:vertAlign w:val="superscript"/>
        </w:rPr>
        <w:t>rd</w:t>
      </w:r>
      <w:r w:rsidRPr="00EE5A20">
        <w:t xml:space="preserve"> of April, 2024).</w:t>
      </w:r>
    </w:p>
    <w:p w14:paraId="6F5DC396" w14:textId="77777777" w:rsidR="00EE5A20" w:rsidRDefault="00D97AF7" w:rsidP="00EE5A20">
      <w:pPr>
        <w:spacing w:line="240" w:lineRule="auto"/>
        <w:ind w:left="283" w:hanging="283"/>
      </w:pPr>
      <w:r w:rsidRPr="00EE5A20">
        <w:t>Eur-Lex (2006). Directive 2006/114/</w:t>
      </w:r>
      <w:r w:rsidRPr="00EE5A20">
        <w:rPr>
          <w:i/>
        </w:rPr>
        <w:t>EC of the European Parliament and of the Council of 12 December 2006 concerning misleading and comparative advertising (codified version) (Text with EEA relevance),</w:t>
      </w:r>
      <w:r w:rsidRPr="00EE5A20">
        <w:t xml:space="preserve"> </w:t>
      </w:r>
      <w:r w:rsidRPr="00EE5A20">
        <w:rPr>
          <w:i/>
        </w:rPr>
        <w:t>Eur-Lex</w:t>
      </w:r>
      <w:r w:rsidRPr="00EE5A20">
        <w:t xml:space="preserve">. Available from: </w:t>
      </w:r>
      <w:hyperlink r:id="rId266" w:history="1">
        <w:r w:rsidRPr="00EE5A20">
          <w:rPr>
            <w:rStyle w:val="Hyperlink"/>
          </w:rPr>
          <w:t>https://eur-lex.europa.eu/legal-content/EN/ALL/?uri=CELEX:32006L0114</w:t>
        </w:r>
      </w:hyperlink>
      <w:r w:rsidRPr="00EE5A20">
        <w:t xml:space="preserve"> (Accessed on the 3</w:t>
      </w:r>
      <w:r w:rsidRPr="00EE5A20">
        <w:rPr>
          <w:vertAlign w:val="superscript"/>
        </w:rPr>
        <w:t>rd</w:t>
      </w:r>
      <w:r w:rsidRPr="00EE5A20">
        <w:t xml:space="preserve"> of April 2024)</w:t>
      </w:r>
      <w:r>
        <w:t>.</w:t>
      </w:r>
    </w:p>
    <w:p w14:paraId="7B2547E0" w14:textId="77777777" w:rsidR="00EE5A20" w:rsidRPr="00EE5A20" w:rsidRDefault="00D97AF7" w:rsidP="00EE5A20">
      <w:pPr>
        <w:spacing w:line="240" w:lineRule="auto"/>
        <w:ind w:left="283" w:hanging="283"/>
      </w:pPr>
      <w:r w:rsidRPr="00EE5A20">
        <w:t>Eur-Lex (2002a).</w:t>
      </w:r>
      <w:r w:rsidRPr="00EE5A20">
        <w:rPr>
          <w:i/>
        </w:rPr>
        <w:t xml:space="preserve"> Directive 2002/58/EC of the European Parliament and of the Council of 12 July 2002 concerning the processing of personal data and the protection of privacy in the electronic communications sector (Directive on privacy and electronic communications), Eur-Lex. </w:t>
      </w:r>
      <w:r w:rsidRPr="00EE5A20">
        <w:t xml:space="preserve">Available from: </w:t>
      </w:r>
      <w:hyperlink r:id="rId267" w:history="1">
        <w:r w:rsidRPr="00EE5A20">
          <w:rPr>
            <w:rStyle w:val="Hyperlink"/>
          </w:rPr>
          <w:t>https://eur-lex.europa.eu/legal-content/EN/TXT/?uri=CELEX%3A32002L0058&amp;qid=1711734066770</w:t>
        </w:r>
      </w:hyperlink>
      <w:r w:rsidRPr="00EE5A20">
        <w:t xml:space="preserve"> (Accessed on the 3</w:t>
      </w:r>
      <w:r w:rsidRPr="00EE5A20">
        <w:rPr>
          <w:vertAlign w:val="superscript"/>
        </w:rPr>
        <w:t>rd</w:t>
      </w:r>
      <w:r w:rsidRPr="00EE5A20">
        <w:t xml:space="preserve"> of April 2024)</w:t>
      </w:r>
    </w:p>
    <w:p w14:paraId="60435C47" w14:textId="77777777" w:rsidR="00EE5A20" w:rsidRPr="00EE5A20" w:rsidRDefault="00D97AF7" w:rsidP="00EE5A20">
      <w:pPr>
        <w:spacing w:line="240" w:lineRule="auto"/>
        <w:ind w:left="283" w:hanging="283"/>
        <w:rPr>
          <w:i/>
        </w:rPr>
      </w:pPr>
      <w:r w:rsidRPr="00EE5A20">
        <w:t xml:space="preserve">Eur-Lex (2002b.). </w:t>
      </w:r>
      <w:r w:rsidRPr="00EE5A20">
        <w:rPr>
          <w:i/>
        </w:rPr>
        <w:t xml:space="preserve">Directive 2000/31/EC of the European Parliament and of the Council of 8 June 2000 on certain legal aspects of information society services, in particular electronic commerce, in the Internal Market ('Directive on electronic commerce'), Euro-Lex </w:t>
      </w:r>
      <w:r w:rsidRPr="00EE5A20">
        <w:t xml:space="preserve">Available from: </w:t>
      </w:r>
      <w:hyperlink r:id="rId268" w:history="1">
        <w:r w:rsidRPr="00EE5A20">
          <w:rPr>
            <w:rStyle w:val="Hyperlink"/>
          </w:rPr>
          <w:t>https://eur-lex.europa.eu/legal-content/EN/TXT/?uri=CELEX%3A32002L0058&amp;qid=1711734066770</w:t>
        </w:r>
      </w:hyperlink>
      <w:r w:rsidRPr="00EE5A20">
        <w:t xml:space="preserve"> (Accessed on the 4</w:t>
      </w:r>
      <w:r w:rsidRPr="00EE5A20">
        <w:rPr>
          <w:vertAlign w:val="superscript"/>
        </w:rPr>
        <w:t>th</w:t>
      </w:r>
      <w:r w:rsidRPr="00EE5A20">
        <w:t xml:space="preserve"> of April, 2024)</w:t>
      </w:r>
    </w:p>
    <w:p w14:paraId="1337EC08" w14:textId="77777777" w:rsidR="00487100" w:rsidRPr="00FD428B" w:rsidRDefault="00D97AF7" w:rsidP="00487100">
      <w:pPr>
        <w:spacing w:line="240" w:lineRule="auto"/>
        <w:ind w:left="283" w:hanging="283"/>
        <w:rPr>
          <w:lang w:val="en-US"/>
        </w:rPr>
      </w:pPr>
      <w:r w:rsidRPr="65C97D40">
        <w:rPr>
          <w:lang w:val="en-US"/>
        </w:rPr>
        <w:t xml:space="preserve">European Commission. (2024). </w:t>
      </w:r>
      <w:r w:rsidRPr="65C97D40">
        <w:rPr>
          <w:i/>
          <w:iCs/>
          <w:lang w:val="en-US"/>
        </w:rPr>
        <w:t>Investigation of the Commission and Consumer Authorities Finds That Online Influencers Rarely Disclose Commercial Content</w:t>
      </w:r>
      <w:r w:rsidRPr="65C97D40">
        <w:rPr>
          <w:lang w:val="en-US"/>
        </w:rPr>
        <w:t xml:space="preserve">. Brussels: European Commission. Available: </w:t>
      </w:r>
      <w:hyperlink r:id="rId269" w:history="1">
        <w:r w:rsidRPr="65C97D40">
          <w:rPr>
            <w:rStyle w:val="Hyperlink"/>
            <w:lang w:val="en-US"/>
          </w:rPr>
          <w:t>https://ec.europa.eu/commission/presscorner/detail/en/ip_24_708</w:t>
        </w:r>
      </w:hyperlink>
      <w:r w:rsidRPr="65C97D40">
        <w:rPr>
          <w:lang w:val="en-US"/>
        </w:rPr>
        <w:t xml:space="preserve"> (accessed: 14 May 2024).</w:t>
      </w:r>
    </w:p>
    <w:p w14:paraId="6366B962" w14:textId="77777777" w:rsidR="00EE5A20" w:rsidRPr="00EE5A20" w:rsidRDefault="00D97AF7" w:rsidP="00FD428B">
      <w:pPr>
        <w:spacing w:line="240" w:lineRule="auto"/>
        <w:ind w:left="283" w:hanging="283"/>
        <w:rPr>
          <w:rStyle w:val="Hyperlink"/>
          <w:rFonts w:cs="Arial"/>
        </w:rPr>
      </w:pPr>
      <w:r w:rsidRPr="00EE5A20">
        <w:rPr>
          <w:rFonts w:cs="Arial"/>
          <w:lang w:val="es-ES"/>
        </w:rPr>
        <w:t xml:space="preserve">Farmaindustria (2002, modified in 2021). Código de Buenas Prácticas de la Industria Farmacéutica. </w:t>
      </w:r>
      <w:r w:rsidRPr="00EE5A20">
        <w:rPr>
          <w:rFonts w:cs="Arial"/>
        </w:rPr>
        <w:t xml:space="preserve">Available from: </w:t>
      </w:r>
      <w:hyperlink r:id="rId270" w:history="1">
        <w:r w:rsidRPr="00EE5A20">
          <w:rPr>
            <w:rStyle w:val="Hyperlink"/>
            <w:rFonts w:cs="Arial"/>
          </w:rPr>
          <w:t>https://www.autocontrol.es/wp-content/uploads/2021/10/codigo-buenas-practicas-farmaindustria_junio_2021.pdf</w:t>
        </w:r>
      </w:hyperlink>
    </w:p>
    <w:p w14:paraId="76E2D391" w14:textId="77777777" w:rsidR="00FD428B" w:rsidRDefault="00D97AF7" w:rsidP="00FD428B">
      <w:pPr>
        <w:spacing w:line="240" w:lineRule="auto"/>
        <w:ind w:left="283" w:hanging="283"/>
      </w:pPr>
      <w:r w:rsidRPr="00FD428B">
        <w:rPr>
          <w:lang w:val="es-ES"/>
        </w:rPr>
        <w:t xml:space="preserve">Federaciones de Asociaciones de Periodistas de España (FAPE) 2024. </w:t>
      </w:r>
      <w:r w:rsidRPr="00FD428B">
        <w:rPr>
          <w:i/>
        </w:rPr>
        <w:t>Código deontológico</w:t>
      </w:r>
      <w:r w:rsidRPr="00FD428B">
        <w:t xml:space="preserve">. Available from: </w:t>
      </w:r>
      <w:hyperlink r:id="rId271" w:history="1">
        <w:r w:rsidRPr="00FD428B">
          <w:rPr>
            <w:rStyle w:val="Hyperlink"/>
          </w:rPr>
          <w:t>https://fape.es/home/codigo-deontologico/</w:t>
        </w:r>
      </w:hyperlink>
      <w:r w:rsidRPr="00FD428B">
        <w:t xml:space="preserve"> (Accesed on the 15th of March 2024)</w:t>
      </w:r>
      <w:r w:rsidR="00C4509F">
        <w:t>.</w:t>
      </w:r>
    </w:p>
    <w:p w14:paraId="76DB6240" w14:textId="77777777" w:rsidR="00FD428B" w:rsidRPr="00FD428B" w:rsidRDefault="00D97AF7" w:rsidP="00FD428B">
      <w:pPr>
        <w:spacing w:line="240" w:lineRule="auto"/>
        <w:ind w:left="283" w:hanging="283"/>
      </w:pPr>
      <w:r w:rsidRPr="00FD428B">
        <w:t>Global Advertising Lawyers Alliance. (2019).</w:t>
      </w:r>
      <w:r w:rsidRPr="00FD428B">
        <w:rPr>
          <w:i/>
        </w:rPr>
        <w:t xml:space="preserve"> Advertising Law: A Global Legal Perspective</w:t>
      </w:r>
      <w:r w:rsidRPr="00FD428B">
        <w:t>. New York: GALA.</w:t>
      </w:r>
    </w:p>
    <w:p w14:paraId="595525C3" w14:textId="77777777" w:rsidR="00FD428B" w:rsidRDefault="00D97AF7" w:rsidP="00FD428B">
      <w:pPr>
        <w:spacing w:line="240" w:lineRule="auto"/>
        <w:ind w:left="283" w:hanging="283"/>
      </w:pPr>
      <w:r w:rsidRPr="00FD428B">
        <w:t xml:space="preserve">Hallin, D.C. and Mancini, P. (2004). </w:t>
      </w:r>
      <w:r w:rsidRPr="00FD428B">
        <w:rPr>
          <w:i/>
        </w:rPr>
        <w:t>Comparing Media Systems: Three Models of Media and Politics</w:t>
      </w:r>
      <w:r w:rsidRPr="00FD428B">
        <w:t xml:space="preserve">. Cambridge: Cambridge University Press.  </w:t>
      </w:r>
    </w:p>
    <w:p w14:paraId="32969510" w14:textId="77777777" w:rsidR="000B7A30" w:rsidRDefault="00D97AF7" w:rsidP="003F713C">
      <w:pPr>
        <w:rPr>
          <w:rFonts w:eastAsiaTheme="minorEastAsia" w:cs="Arial"/>
          <w:noProof/>
          <w:color w:val="212121"/>
          <w:lang w:eastAsia="en-GB"/>
        </w:rPr>
      </w:pPr>
      <w:r w:rsidRPr="003F713C">
        <w:rPr>
          <w:rFonts w:cs="Arial"/>
        </w:rPr>
        <w:t>Hardy, J. (2022)</w:t>
      </w:r>
      <w:r w:rsidRPr="003F713C">
        <w:rPr>
          <w:rFonts w:eastAsiaTheme="minorEastAsia" w:cs="Arial"/>
          <w:noProof/>
          <w:color w:val="212121"/>
          <w:lang w:eastAsia="en-GB"/>
        </w:rPr>
        <w:t> </w:t>
      </w:r>
      <w:r w:rsidRPr="003F713C">
        <w:rPr>
          <w:rFonts w:eastAsiaTheme="minorEastAsia" w:cs="Arial"/>
          <w:i/>
          <w:iCs/>
          <w:noProof/>
          <w:color w:val="212121"/>
          <w:lang w:eastAsia="en-GB"/>
        </w:rPr>
        <w:t>Branded Content: The Fateful Merging of Media and Marketing</w:t>
      </w:r>
      <w:r w:rsidR="003F713C">
        <w:rPr>
          <w:rFonts w:eastAsiaTheme="minorEastAsia" w:cs="Arial"/>
          <w:noProof/>
          <w:color w:val="212121"/>
          <w:lang w:eastAsia="en-GB"/>
        </w:rPr>
        <w:t xml:space="preserve">, Abingdon, Oxon: </w:t>
      </w:r>
      <w:r w:rsidRPr="003F713C">
        <w:rPr>
          <w:rFonts w:eastAsiaTheme="minorEastAsia" w:cs="Arial"/>
          <w:noProof/>
          <w:color w:val="212121"/>
          <w:lang w:eastAsia="en-GB"/>
        </w:rPr>
        <w:t>Routledge</w:t>
      </w:r>
      <w:r w:rsidR="003F713C">
        <w:rPr>
          <w:rFonts w:eastAsiaTheme="minorEastAsia" w:cs="Arial"/>
          <w:noProof/>
          <w:color w:val="212121"/>
          <w:lang w:eastAsia="en-GB"/>
        </w:rPr>
        <w:t>.</w:t>
      </w:r>
    </w:p>
    <w:p w14:paraId="55E15DE1" w14:textId="77777777" w:rsidR="006C6B50" w:rsidRPr="00FD428B" w:rsidRDefault="00D97AF7" w:rsidP="006C6B50">
      <w:pPr>
        <w:ind w:left="284" w:hanging="284"/>
        <w:rPr>
          <w:rFonts w:eastAsiaTheme="minorEastAsia" w:cs="Arial"/>
          <w:noProof/>
          <w:color w:val="212121"/>
          <w:lang w:eastAsia="en-GB"/>
        </w:rPr>
      </w:pPr>
      <w:r w:rsidRPr="006C6B50">
        <w:rPr>
          <w:rFonts w:eastAsiaTheme="minorEastAsia" w:cs="Arial"/>
          <w:noProof/>
          <w:color w:val="212121"/>
          <w:lang w:val="es-ES" w:eastAsia="en-GB"/>
        </w:rPr>
        <w:t xml:space="preserve">IAB Spain (27th September 2023). IAB Spain presenta la 2ª Ola del Estudio de Inversión Publicitaria en Medios Digitales 2023, IAB Spain. </w:t>
      </w:r>
      <w:r w:rsidRPr="006C6B50">
        <w:rPr>
          <w:rFonts w:eastAsiaTheme="minorEastAsia" w:cs="Arial"/>
          <w:noProof/>
          <w:color w:val="212121"/>
          <w:lang w:eastAsia="en-GB"/>
        </w:rPr>
        <w:t xml:space="preserve">Available at: </w:t>
      </w:r>
      <w:hyperlink r:id="rId272" w:history="1">
        <w:r w:rsidRPr="006C6B50">
          <w:rPr>
            <w:rStyle w:val="Hyperlink"/>
            <w:rFonts w:eastAsiaTheme="minorEastAsia" w:cs="Arial"/>
            <w:noProof/>
            <w:lang w:eastAsia="en-GB"/>
          </w:rPr>
          <w:t>https://iabspain.es/iab-spain-presenta-la-2a-ola-del-estudio-de-inversion-publicitaria-en-medios-digitales-2023/</w:t>
        </w:r>
      </w:hyperlink>
      <w:r w:rsidRPr="006C6B50">
        <w:rPr>
          <w:rFonts w:eastAsiaTheme="minorEastAsia" w:cs="Arial"/>
          <w:noProof/>
          <w:color w:val="212121"/>
          <w:lang w:eastAsia="en-GB"/>
        </w:rPr>
        <w:t xml:space="preserve"> (Accesed on the 1</w:t>
      </w:r>
      <w:r w:rsidRPr="006C6B50">
        <w:rPr>
          <w:rFonts w:eastAsiaTheme="minorEastAsia" w:cs="Arial"/>
          <w:noProof/>
          <w:color w:val="212121"/>
          <w:vertAlign w:val="superscript"/>
          <w:lang w:eastAsia="en-GB"/>
        </w:rPr>
        <w:t>st</w:t>
      </w:r>
      <w:r w:rsidRPr="006C6B50">
        <w:rPr>
          <w:rFonts w:eastAsiaTheme="minorEastAsia" w:cs="Arial"/>
          <w:noProof/>
          <w:color w:val="212121"/>
          <w:lang w:eastAsia="en-GB"/>
        </w:rPr>
        <w:t xml:space="preserve"> April 2024)</w:t>
      </w:r>
    </w:p>
    <w:p w14:paraId="41DB5D20" w14:textId="77777777" w:rsidR="00FD428B" w:rsidRPr="007E02F3" w:rsidRDefault="00D97AF7" w:rsidP="00FD428B">
      <w:pPr>
        <w:spacing w:line="240" w:lineRule="auto"/>
        <w:ind w:left="283" w:hanging="283"/>
        <w:rPr>
          <w:lang w:val="es-ES"/>
        </w:rPr>
      </w:pPr>
      <w:r w:rsidRPr="00FD428B">
        <w:t xml:space="preserve">ICAS (The International Council on Ad Self-Regulation). 2021. </w:t>
      </w:r>
      <w:r w:rsidRPr="00FD428B">
        <w:rPr>
          <w:i/>
        </w:rPr>
        <w:t>The ICAS Global SRO Database</w:t>
      </w:r>
      <w:r w:rsidRPr="00FD428B">
        <w:t xml:space="preserve">. </w:t>
      </w:r>
      <w:r w:rsidRPr="007E02F3">
        <w:rPr>
          <w:lang w:val="es-ES"/>
        </w:rPr>
        <w:t>Belgium: ICAS. Available: https://icas.global/srodatabase/ (accessed: 12 December 2022).</w:t>
      </w:r>
    </w:p>
    <w:p w14:paraId="17906D0B" w14:textId="77777777" w:rsidR="007615AB" w:rsidRPr="007615AB" w:rsidRDefault="00D97AF7" w:rsidP="007615AB">
      <w:pPr>
        <w:spacing w:line="240" w:lineRule="auto"/>
        <w:ind w:left="283" w:hanging="283"/>
      </w:pPr>
      <w:r w:rsidRPr="007615AB">
        <w:rPr>
          <w:lang w:val="es-ES"/>
        </w:rPr>
        <w:t xml:space="preserve">InfoAdex (2024) </w:t>
      </w:r>
      <w:r w:rsidRPr="007615AB">
        <w:rPr>
          <w:i/>
          <w:lang w:val="es-ES"/>
        </w:rPr>
        <w:t>Estudio InfoAdex de la Inversión Publicitaria en España 2024</w:t>
      </w:r>
      <w:r w:rsidRPr="007615AB">
        <w:rPr>
          <w:lang w:val="es-ES"/>
        </w:rPr>
        <w:t xml:space="preserve">. </w:t>
      </w:r>
      <w:r w:rsidRPr="007615AB">
        <w:t xml:space="preserve">Available from: </w:t>
      </w:r>
      <w:hyperlink r:id="rId273" w:history="1">
        <w:r w:rsidRPr="007615AB">
          <w:rPr>
            <w:rStyle w:val="Hyperlink"/>
          </w:rPr>
          <w:t>https://www.infoadex.es/home/wp-content/uploads/2024/02/Estudio-InfoAdex-2024-Resumen.pdf</w:t>
        </w:r>
      </w:hyperlink>
      <w:r w:rsidRPr="007615AB">
        <w:t xml:space="preserve"> (Accessed on on 2nd April 2024)</w:t>
      </w:r>
    </w:p>
    <w:p w14:paraId="1AB3FF5D" w14:textId="77777777" w:rsidR="007615AB" w:rsidRPr="007615AB" w:rsidRDefault="00D97AF7" w:rsidP="007615AB">
      <w:pPr>
        <w:spacing w:line="240" w:lineRule="auto"/>
        <w:ind w:left="283" w:hanging="283"/>
        <w:rPr>
          <w:lang w:val="es-ES"/>
        </w:rPr>
      </w:pPr>
      <w:r w:rsidRPr="007615AB">
        <w:rPr>
          <w:lang w:val="es-ES"/>
        </w:rPr>
        <w:t xml:space="preserve">Instituto Geográfico Nacional (IGN) (2022). España en el contexto geográfico mundial. Instituto Geográfico Nacional. Available at: </w:t>
      </w:r>
      <w:hyperlink r:id="rId274" w:history="1">
        <w:r w:rsidRPr="007615AB">
          <w:rPr>
            <w:rStyle w:val="Hyperlink"/>
            <w:lang w:val="es-ES"/>
          </w:rPr>
          <w:t>https://atlasnacional.ign.es/wane/Espa%C3%B1a_en_el_contexto_geogr%C3%A1fico_mundial</w:t>
        </w:r>
      </w:hyperlink>
      <w:r w:rsidRPr="007615AB">
        <w:rPr>
          <w:lang w:val="es-ES"/>
        </w:rPr>
        <w:t xml:space="preserve"> (Accessed: 2nd April 2024)</w:t>
      </w:r>
    </w:p>
    <w:p w14:paraId="06584763" w14:textId="77777777" w:rsidR="007615AB" w:rsidRPr="007615AB" w:rsidRDefault="00D97AF7" w:rsidP="007615AB">
      <w:pPr>
        <w:spacing w:line="240" w:lineRule="auto"/>
        <w:ind w:left="283" w:hanging="283"/>
        <w:rPr>
          <w:lang w:val="es-ES"/>
        </w:rPr>
      </w:pPr>
      <w:r w:rsidRPr="007615AB">
        <w:rPr>
          <w:lang w:val="es-ES"/>
        </w:rPr>
        <w:t xml:space="preserve">Instituto Nacional de Estadística (INE) (2024). </w:t>
      </w:r>
      <w:r w:rsidRPr="007615AB">
        <w:rPr>
          <w:i/>
          <w:lang w:val="es-ES"/>
        </w:rPr>
        <w:t>Instituto Nacional de Estadística</w:t>
      </w:r>
      <w:r w:rsidRPr="007615AB">
        <w:rPr>
          <w:lang w:val="es-ES"/>
        </w:rPr>
        <w:t xml:space="preserve">. Available at: </w:t>
      </w:r>
      <w:hyperlink r:id="rId275" w:history="1">
        <w:r w:rsidRPr="007615AB">
          <w:rPr>
            <w:rStyle w:val="Hyperlink"/>
            <w:lang w:val="es-ES"/>
          </w:rPr>
          <w:t>https://www.ine.es/</w:t>
        </w:r>
      </w:hyperlink>
      <w:r w:rsidRPr="007615AB">
        <w:rPr>
          <w:lang w:val="es-ES"/>
        </w:rPr>
        <w:t xml:space="preserve"> (Accessed on 2nd April 2024)</w:t>
      </w:r>
    </w:p>
    <w:p w14:paraId="03B76813" w14:textId="77777777" w:rsidR="007615AB" w:rsidRPr="007615AB" w:rsidRDefault="00D97AF7" w:rsidP="007615AB">
      <w:pPr>
        <w:spacing w:line="240" w:lineRule="auto"/>
        <w:ind w:left="283" w:hanging="283"/>
      </w:pPr>
      <w:r w:rsidRPr="007615AB">
        <w:rPr>
          <w:lang w:val="es-ES"/>
        </w:rPr>
        <w:t xml:space="preserve">Instituto Nacional de Estadística (INE) (2023a.). </w:t>
      </w:r>
      <w:r w:rsidRPr="007615AB">
        <w:rPr>
          <w:i/>
          <w:lang w:val="es-ES"/>
        </w:rPr>
        <w:t xml:space="preserve">Contabilidad Regional de España. Producto Interior Bruto regional. Serie 2020-2022. Cuentas de renta regionales del sector hogares. Serie 2020-2021 </w:t>
      </w:r>
      <w:r w:rsidRPr="007615AB">
        <w:rPr>
          <w:lang w:val="es-ES"/>
        </w:rPr>
        <w:t xml:space="preserve">[Press release]. </w:t>
      </w:r>
      <w:r w:rsidRPr="007615AB">
        <w:t xml:space="preserve">Available at: </w:t>
      </w:r>
      <w:hyperlink r:id="rId276" w:history="1">
        <w:r w:rsidRPr="007615AB">
          <w:rPr>
            <w:rStyle w:val="Hyperlink"/>
          </w:rPr>
          <w:t>https://www.ine.es/prensa/cre_2022.pdf</w:t>
        </w:r>
      </w:hyperlink>
      <w:r w:rsidRPr="007615AB">
        <w:t xml:space="preserve"> (Accessed on the 2nd April 2024).</w:t>
      </w:r>
    </w:p>
    <w:p w14:paraId="2E2062D7" w14:textId="77777777" w:rsidR="007615AB" w:rsidRPr="007615AB" w:rsidRDefault="00D97AF7" w:rsidP="007615AB">
      <w:pPr>
        <w:spacing w:line="240" w:lineRule="auto"/>
        <w:ind w:left="283" w:hanging="283"/>
      </w:pPr>
      <w:r w:rsidRPr="007615AB">
        <w:rPr>
          <w:lang w:val="es-ES"/>
        </w:rPr>
        <w:t>Instituto Nacional de Estadística (INE) (2023b.).6.5. Población que usa internet de manera frecuente</w:t>
      </w:r>
      <w:r w:rsidR="006B43ED">
        <w:rPr>
          <w:lang w:val="es-ES"/>
        </w:rPr>
        <w:t xml:space="preserve">, </w:t>
      </w:r>
      <w:r w:rsidRPr="007615AB">
        <w:rPr>
          <w:lang w:val="es-ES"/>
        </w:rPr>
        <w:t xml:space="preserve">Instituto Nacional de Estadística. </w:t>
      </w:r>
      <w:r w:rsidRPr="007615AB">
        <w:t xml:space="preserve">Available at: </w:t>
      </w:r>
      <w:hyperlink r:id="rId277" w:history="1">
        <w:r w:rsidRPr="007615AB">
          <w:rPr>
            <w:rStyle w:val="Hyperlink"/>
          </w:rPr>
          <w:t>https://www.ine.es/ss/Satellite?L=es_ES&amp;c=INESeccion_C&amp;cid=1259925528559&amp;p=%2F&amp;pagename=ProductosYServicios%2FPYSLayout&amp;param1=PYSDetalle&amp;param3=1259924822888</w:t>
        </w:r>
      </w:hyperlink>
      <w:r w:rsidRPr="007615AB">
        <w:t xml:space="preserve"> (Accessed on 2</w:t>
      </w:r>
      <w:r w:rsidRPr="007615AB">
        <w:rPr>
          <w:vertAlign w:val="superscript"/>
        </w:rPr>
        <w:t>nd</w:t>
      </w:r>
      <w:r w:rsidRPr="007615AB">
        <w:t xml:space="preserve"> of April 2024)</w:t>
      </w:r>
    </w:p>
    <w:p w14:paraId="2B7CA5F4" w14:textId="77777777" w:rsidR="00FD428B" w:rsidRPr="00FD428B" w:rsidRDefault="00D97AF7" w:rsidP="00FD428B">
      <w:pPr>
        <w:spacing w:line="240" w:lineRule="auto"/>
        <w:ind w:left="283" w:hanging="283"/>
        <w:rPr>
          <w:lang w:val="es-ES"/>
        </w:rPr>
      </w:pPr>
      <w:r w:rsidRPr="00226934">
        <w:rPr>
          <w:lang w:val="es-ES"/>
        </w:rPr>
        <w:t xml:space="preserve">Lema Devesa, C. (2018).’ </w:t>
      </w:r>
      <w:r w:rsidRPr="00FD428B">
        <w:rPr>
          <w:lang w:val="es-ES"/>
        </w:rPr>
        <w:t xml:space="preserve">Tendencias actuales del derecho de la publicidad: la problemática autorregulación publicitaria en España’. En </w:t>
      </w:r>
      <w:r w:rsidRPr="00FD428B">
        <w:rPr>
          <w:i/>
          <w:lang w:val="es-ES"/>
        </w:rPr>
        <w:t>methaodos.revista de ciencias sociales.</w:t>
      </w:r>
      <w:r w:rsidRPr="00FD428B">
        <w:rPr>
          <w:lang w:val="es-ES"/>
        </w:rPr>
        <w:t xml:space="preserve"> 6 (1): 7-15 </w:t>
      </w:r>
      <w:hyperlink r:id="rId278" w:history="1">
        <w:r w:rsidRPr="00FD428B">
          <w:rPr>
            <w:rStyle w:val="Hyperlink"/>
            <w:lang w:val="es-ES"/>
          </w:rPr>
          <w:t>https://www.methaodos.org/revista-methaodos/index.php/methaodos/article/view/225</w:t>
        </w:r>
      </w:hyperlink>
      <w:r w:rsidRPr="00FD428B">
        <w:rPr>
          <w:lang w:val="es-ES"/>
        </w:rPr>
        <w:t xml:space="preserve"> </w:t>
      </w:r>
    </w:p>
    <w:p w14:paraId="67F73EEE" w14:textId="77777777" w:rsidR="00FD428B" w:rsidRDefault="00D97AF7" w:rsidP="00FD428B">
      <w:pPr>
        <w:spacing w:line="240" w:lineRule="auto"/>
        <w:ind w:left="283" w:hanging="283"/>
      </w:pPr>
      <w:r w:rsidRPr="00FD428B">
        <w:rPr>
          <w:lang w:val="es-ES"/>
        </w:rPr>
        <w:t>Minsterio de Hacienda (2024).Normativas sobre datos personales. Ministerio de Hacienda. Mad</w:t>
      </w:r>
      <w:r w:rsidR="007615AB">
        <w:rPr>
          <w:lang w:val="es-ES"/>
        </w:rPr>
        <w:t>ri</w:t>
      </w:r>
      <w:r w:rsidRPr="00FD428B">
        <w:rPr>
          <w:lang w:val="es-ES"/>
        </w:rPr>
        <w:t xml:space="preserve">d: Gobierno de España. </w:t>
      </w:r>
      <w:hyperlink r:id="rId279" w:history="1">
        <w:r w:rsidRPr="00FD428B">
          <w:rPr>
            <w:rStyle w:val="Hyperlink"/>
          </w:rPr>
          <w:t>https://www.hacienda.gob.es/en-GB/El%20Ministerio/Paginas/DPD/Normativa_PD.aspx</w:t>
        </w:r>
      </w:hyperlink>
      <w:r w:rsidRPr="00FD428B">
        <w:t xml:space="preserve"> (Accessed on the 21 February 2024)</w:t>
      </w:r>
    </w:p>
    <w:p w14:paraId="133620A2" w14:textId="77777777" w:rsidR="00406C00" w:rsidRPr="00406C00" w:rsidRDefault="00D97AF7" w:rsidP="009E5AE2">
      <w:pPr>
        <w:spacing w:line="240" w:lineRule="auto"/>
        <w:ind w:left="283" w:hanging="283"/>
        <w:rPr>
          <w:rStyle w:val="Hyperlink"/>
          <w:rFonts w:cs="Arial"/>
        </w:rPr>
      </w:pPr>
      <w:r w:rsidRPr="00406C00">
        <w:rPr>
          <w:rFonts w:cs="Arial"/>
          <w:lang w:val="es-ES"/>
        </w:rPr>
        <w:t xml:space="preserve">Movierecord, Discine, and 014 IN (2016). Código Ético de Publicidad en el Cine. </w:t>
      </w:r>
      <w:r w:rsidRPr="00406C00">
        <w:rPr>
          <w:rFonts w:cs="Arial"/>
        </w:rPr>
        <w:t xml:space="preserve">Available from: </w:t>
      </w:r>
      <w:hyperlink r:id="rId280" w:history="1">
        <w:r w:rsidRPr="00406C00">
          <w:rPr>
            <w:rStyle w:val="Hyperlink"/>
            <w:rFonts w:cs="Arial"/>
          </w:rPr>
          <w:t>https://www.autocontrol.es/wp-content/uploads/2016/02/c%C2%A2digo-etico-de-publicidad-en-cine.pdf</w:t>
        </w:r>
      </w:hyperlink>
    </w:p>
    <w:p w14:paraId="1E8E971C" w14:textId="77777777" w:rsidR="009E5AE2" w:rsidRDefault="00D97AF7" w:rsidP="009E5AE2">
      <w:pPr>
        <w:spacing w:line="240" w:lineRule="auto"/>
        <w:ind w:left="283" w:hanging="283"/>
      </w:pPr>
      <w:r w:rsidRPr="00226934">
        <w:rPr>
          <w:lang w:val="es-ES"/>
        </w:rPr>
        <w:t xml:space="preserve">MPM [Media Plurality Monitor] (2022). *This refers to </w:t>
      </w:r>
      <w:r w:rsidRPr="00FD428B">
        <w:rPr>
          <w:lang w:val="es-ES"/>
        </w:rPr>
        <w:t xml:space="preserve">Suau Martínez, J., Ruiz Caballero, C., Capilla García, P., Yeste Piquer, E., Puertas Graell, D., Cordero Triay, L., Agràs Masdeu, J. (2022). </w:t>
      </w:r>
      <w:r w:rsidRPr="00FD428B">
        <w:t xml:space="preserve">‘Country Report: Spain’, in </w:t>
      </w:r>
      <w:r w:rsidRPr="00FD428B">
        <w:rPr>
          <w:i/>
        </w:rPr>
        <w:t>Monitoring Media Pluralism in the Digital Era</w:t>
      </w:r>
      <w:r w:rsidRPr="00FD428B">
        <w:t>. Florence: Centre for Media Pluralism and Media Freedom (CMPF), Media Pluralism Monitor (MPM). Available:  https://cadmus.eui.eu/handle/1814/74706 (accessed: 26 September 2022).</w:t>
      </w:r>
    </w:p>
    <w:p w14:paraId="5F47BFBF" w14:textId="77777777" w:rsidR="00AC454C" w:rsidRPr="00226934" w:rsidRDefault="00D97AF7" w:rsidP="009E5AE2">
      <w:pPr>
        <w:spacing w:line="240" w:lineRule="auto"/>
        <w:ind w:left="283" w:hanging="283"/>
        <w:rPr>
          <w:lang w:val="es-ES"/>
        </w:rPr>
      </w:pPr>
      <w:r w:rsidRPr="00226934">
        <w:t xml:space="preserve">OIVE (2018, modified 2021). </w:t>
      </w:r>
      <w:r w:rsidRPr="00AC454C">
        <w:rPr>
          <w:lang w:val="es-ES"/>
        </w:rPr>
        <w:t xml:space="preserve">Commercial Communication Code for Wine [Código de Comunicación Comercial del Vino. Enero 2021]. </w:t>
      </w:r>
      <w:r w:rsidRPr="00226934">
        <w:rPr>
          <w:lang w:val="es-ES"/>
        </w:rPr>
        <w:t xml:space="preserve">Available at: </w:t>
      </w:r>
      <w:hyperlink r:id="rId281" w:history="1">
        <w:r w:rsidRPr="00226934">
          <w:rPr>
            <w:rStyle w:val="Hyperlink"/>
            <w:lang w:val="es-ES"/>
          </w:rPr>
          <w:t>https://www.autocontrol.es/wp-content/uploads/2021/03/codigo-comunicacion-comercial-vino_2021.pdf</w:t>
        </w:r>
      </w:hyperlink>
    </w:p>
    <w:p w14:paraId="5E93F387" w14:textId="77777777" w:rsidR="00FD428B" w:rsidRDefault="00D97AF7" w:rsidP="00FD428B">
      <w:pPr>
        <w:spacing w:line="240" w:lineRule="auto"/>
        <w:ind w:left="283" w:hanging="283"/>
      </w:pPr>
      <w:r w:rsidRPr="00FD428B">
        <w:rPr>
          <w:lang w:val="es-ES"/>
        </w:rPr>
        <w:t xml:space="preserve">Pérez, R. (2021). La 'Ley Iceta' lleva la censura más allá de la normativa europea: los algoritmos podrán cortar streamings y aplicarla en directo. </w:t>
      </w:r>
      <w:r w:rsidRPr="00FD428B">
        <w:t xml:space="preserve">21 de noviembre. Available at: </w:t>
      </w:r>
      <w:hyperlink r:id="rId282" w:history="1">
        <w:r w:rsidRPr="00FD428B">
          <w:rPr>
            <w:rStyle w:val="Hyperlink"/>
          </w:rPr>
          <w:t>https://www.xataka.com/legislacion-y-derechos/ley-iceta-lleva-censura-alla-normativa-europea-algoritmos-podran-cortar-streamings-aplicarla-directo</w:t>
        </w:r>
      </w:hyperlink>
      <w:r w:rsidRPr="00FD428B">
        <w:t xml:space="preserve"> (Accessed on 9</w:t>
      </w:r>
      <w:r w:rsidRPr="00FD428B">
        <w:rPr>
          <w:vertAlign w:val="superscript"/>
        </w:rPr>
        <w:t>th</w:t>
      </w:r>
      <w:r w:rsidRPr="00FD428B">
        <w:t xml:space="preserve"> February, 2024)</w:t>
      </w:r>
      <w:r w:rsidR="00752FDC">
        <w:t>.</w:t>
      </w:r>
    </w:p>
    <w:p w14:paraId="6CF26685" w14:textId="77777777" w:rsidR="00752FDC" w:rsidRPr="00FD428B" w:rsidRDefault="00D97AF7" w:rsidP="00752FDC">
      <w:pPr>
        <w:spacing w:line="240" w:lineRule="auto"/>
        <w:ind w:left="283" w:hanging="283"/>
      </w:pPr>
      <w:r>
        <w:t xml:space="preserve">Press Councils.Eu (n.d.) </w:t>
      </w:r>
      <w:r w:rsidRPr="00FD428B">
        <w:rPr>
          <w:lang w:val="es-ES"/>
        </w:rPr>
        <w:t xml:space="preserve">Federaciones de Asociaciones de Periodistas de España </w:t>
      </w:r>
      <w:r w:rsidRPr="00226934">
        <w:rPr>
          <w:lang w:val="es-ES"/>
        </w:rPr>
        <w:t xml:space="preserve">Code of Ethics. </w:t>
      </w:r>
      <w:r w:rsidRPr="00FD428B">
        <w:t xml:space="preserve">Available from: </w:t>
      </w:r>
      <w:hyperlink r:id="rId283" w:history="1">
        <w:r w:rsidRPr="00FD428B">
          <w:rPr>
            <w:rStyle w:val="Hyperlink"/>
          </w:rPr>
          <w:t>https://www.presscouncils.eu/codes/18_es/</w:t>
        </w:r>
      </w:hyperlink>
      <w:r w:rsidRPr="00FD428B">
        <w:t xml:space="preserve"> (Accessed on 15 of March 2024).</w:t>
      </w:r>
    </w:p>
    <w:p w14:paraId="2A53EC69" w14:textId="77777777" w:rsidR="00FD428B" w:rsidRPr="00FD428B" w:rsidRDefault="00D97AF7" w:rsidP="00FD428B">
      <w:pPr>
        <w:spacing w:line="240" w:lineRule="auto"/>
        <w:ind w:left="283" w:hanging="283"/>
      </w:pPr>
      <w:r w:rsidRPr="00FD428B">
        <w:rPr>
          <w:lang w:val="es-ES"/>
        </w:rPr>
        <w:t xml:space="preserve">Rueda Laffond, J. C., &amp; Coronado Ruiz, C. (2010), LA CODIFICACIÓN TELEVISIVA DEL FRANQUISMO: DE LA HISTORIA DEL ENTRETENIMIENTO A LA HISTORIA COMO ENTRETENIMIENTO. </w:t>
      </w:r>
      <w:r w:rsidRPr="00FD428B">
        <w:rPr>
          <w:i/>
          <w:iCs/>
        </w:rPr>
        <w:t>Historia Crítica</w:t>
      </w:r>
      <w:r w:rsidRPr="00FD428B">
        <w:t xml:space="preserve">, (40), 170-195. </w:t>
      </w:r>
      <w:hyperlink r:id="rId284" w:history="1">
        <w:r w:rsidRPr="00FD428B">
          <w:rPr>
            <w:rStyle w:val="Hyperlink"/>
          </w:rPr>
          <w:t>http://www.scielo.org.co/scielo.php?script=sci_arttext&amp;pid=S0121-16172010000100010&amp;lng=en&amp;tlng=</w:t>
        </w:r>
      </w:hyperlink>
      <w:r w:rsidRPr="00FD428B">
        <w:t xml:space="preserve"> (accessed 28 April 2024).</w:t>
      </w:r>
    </w:p>
    <w:p w14:paraId="70A147CA" w14:textId="77777777" w:rsidR="00487100" w:rsidRDefault="00D97AF7" w:rsidP="00FD428B">
      <w:pPr>
        <w:spacing w:line="240" w:lineRule="auto"/>
        <w:ind w:left="283" w:hanging="283"/>
        <w:rPr>
          <w:lang w:val="en-US"/>
        </w:rPr>
      </w:pPr>
      <w:r w:rsidRPr="65C97D40">
        <w:rPr>
          <w:lang w:val="en-US"/>
        </w:rPr>
        <w:t xml:space="preserve">Society for Computers and Law. (2024). </w:t>
      </w:r>
      <w:r w:rsidRPr="65C97D40">
        <w:rPr>
          <w:i/>
          <w:iCs/>
          <w:lang w:val="en-US"/>
        </w:rPr>
        <w:t>European Commission and Consumer Authorities Investigate Online Influencers</w:t>
      </w:r>
      <w:r w:rsidRPr="65C97D40">
        <w:rPr>
          <w:lang w:val="en-US"/>
        </w:rPr>
        <w:t xml:space="preserve">. Bristol: Society for Computers and Law. Available: </w:t>
      </w:r>
      <w:hyperlink r:id="rId285" w:anchor=":~:text=In%20addition%2C%20influencers%20who%20sell,into%20force%20in%20the%20EU" w:history="1">
        <w:r w:rsidRPr="65C97D40">
          <w:rPr>
            <w:rStyle w:val="Hyperlink"/>
            <w:lang w:val="en-US"/>
          </w:rPr>
          <w:t>https://www.scl.org/european-commission-and-consumer-authorities-investigate-online-influencers/#:~:text=In%20addition%2C%20influencers%20who%20sell,into%20force%20in%20the%20EU</w:t>
        </w:r>
      </w:hyperlink>
      <w:r w:rsidRPr="65C97D40">
        <w:rPr>
          <w:lang w:val="en-US"/>
        </w:rPr>
        <w:t xml:space="preserve"> (accessed: 14 May 2024).</w:t>
      </w:r>
    </w:p>
    <w:p w14:paraId="764C13CE" w14:textId="77777777" w:rsidR="005C1AD8" w:rsidRPr="005C1AD8" w:rsidRDefault="00D97AF7" w:rsidP="005C1AD8">
      <w:pPr>
        <w:ind w:left="283" w:hanging="283"/>
        <w:rPr>
          <w:rFonts w:eastAsia="Calibri" w:cs="Arial"/>
        </w:rPr>
      </w:pPr>
      <w:r w:rsidRPr="005C1AD8">
        <w:rPr>
          <w:rFonts w:eastAsia="Calibri" w:cs="Arial"/>
        </w:rPr>
        <w:t xml:space="preserve">Spain Audiovisual Hub (2023). </w:t>
      </w:r>
      <w:r w:rsidRPr="005C1AD8">
        <w:rPr>
          <w:rFonts w:eastAsia="Calibri" w:cs="Arial"/>
          <w:i/>
        </w:rPr>
        <w:t>Informe Spain Audiovisual Hub April 2023.</w:t>
      </w:r>
      <w:r w:rsidRPr="005C1AD8">
        <w:rPr>
          <w:rFonts w:eastAsia="Calibri" w:cs="Arial"/>
        </w:rPr>
        <w:t xml:space="preserve"> Available from:</w:t>
      </w:r>
      <w:r w:rsidRPr="005C1AD8">
        <w:rPr>
          <w:rFonts w:cs="Arial"/>
        </w:rPr>
        <w:t xml:space="preserve"> </w:t>
      </w:r>
      <w:hyperlink r:id="rId286" w:history="1">
        <w:r w:rsidRPr="005C1AD8">
          <w:rPr>
            <w:rStyle w:val="Hyperlink"/>
            <w:rFonts w:eastAsia="Calibri" w:cs="Arial"/>
          </w:rPr>
          <w:t>https://spainaudiovisualhub.mineco.gob.es/content/dam/seteleco-hub-audiovisual/resources/pdf/Informe%20Spain%20Audiovisual%20Hub_2023_Final_v5.pdf</w:t>
        </w:r>
      </w:hyperlink>
      <w:r w:rsidRPr="005C1AD8">
        <w:rPr>
          <w:rFonts w:eastAsia="Calibri" w:cs="Arial"/>
        </w:rPr>
        <w:t xml:space="preserve"> </w:t>
      </w:r>
    </w:p>
    <w:p w14:paraId="5FA0B6C0" w14:textId="77777777" w:rsidR="00FD428B" w:rsidRPr="00FD428B" w:rsidRDefault="00D97AF7" w:rsidP="00FD428B">
      <w:pPr>
        <w:spacing w:line="240" w:lineRule="auto"/>
        <w:ind w:left="283" w:hanging="283"/>
      </w:pPr>
      <w:r w:rsidRPr="00FD428B">
        <w:t>SUAU, Jaume, CAPILLA, Pablo, PUERTAS, David, FRANQUET, Miguel, YESTE, Elena, SINTES, Marçal, CORDERO, Lidia, VALSELLS, Roger,</w:t>
      </w:r>
      <w:r w:rsidRPr="00FD428B">
        <w:rPr>
          <w:i/>
          <w:iCs/>
        </w:rPr>
        <w:t xml:space="preserve"> (2023) Monitoring media pluralism in the digital era : application of the media pluralism monitor in the European Union, Albania, Montenegro, the Republic of North Macedonia, Serbia and Turkey in the year 2022. Country report : SpainMonitoring media pluralism in the digital era : application of the media pluralism monitor in the European Union, Albania, Montenegro, the Republic of North Macedonia, Serbia and Turkey in the year 2022. </w:t>
      </w:r>
      <w:r w:rsidRPr="00FD428B">
        <w:rPr>
          <w:i/>
          <w:iCs/>
          <w:lang w:val="es-ES"/>
        </w:rPr>
        <w:t xml:space="preserve">Country report : Spain; Monitorizando el pluralismo mediático en la era digital : aplicación del media pluralism monitor en la Unión Europea, Albania, Montenegro, la República de Macedonia del Norte, Serbia y Turquía en el año 2022. </w:t>
      </w:r>
      <w:r w:rsidRPr="00FD428B">
        <w:rPr>
          <w:i/>
          <w:iCs/>
        </w:rPr>
        <w:t xml:space="preserve">Informe país : </w:t>
      </w:r>
      <w:r w:rsidRPr="00FD428B">
        <w:t xml:space="preserve">España, EUI, RSC, Research Project Report, Centre for Media Pluralism and Media Freedom (CMPF), 2023, Country Report - </w:t>
      </w:r>
      <w:hyperlink r:id="rId287" w:history="1">
        <w:r w:rsidRPr="00FD428B">
          <w:rPr>
            <w:rStyle w:val="Hyperlink"/>
          </w:rPr>
          <w:t>https://hdl.handle.net/1814/75739</w:t>
        </w:r>
      </w:hyperlink>
    </w:p>
    <w:p w14:paraId="338FD9C3" w14:textId="77777777" w:rsidR="00647F7D" w:rsidRPr="00487100" w:rsidRDefault="00D97AF7" w:rsidP="00487100">
      <w:pPr>
        <w:spacing w:line="240" w:lineRule="auto"/>
        <w:ind w:left="283" w:hanging="283"/>
      </w:pPr>
      <w:r w:rsidRPr="00FD428B">
        <w:rPr>
          <w:lang w:val="es-ES"/>
        </w:rPr>
        <w:t xml:space="preserve">Suau Martínez, J., Ruiz Caballero, C., Capilla García, P., Yeste Piquer, E., Puertas Graell, D., Cordero Triay, L., Agràs Masdeu, J. (2022). </w:t>
      </w:r>
      <w:r w:rsidRPr="00FD428B">
        <w:t xml:space="preserve">‘Country Report: Spain’, in </w:t>
      </w:r>
      <w:r w:rsidRPr="00FD428B">
        <w:rPr>
          <w:i/>
        </w:rPr>
        <w:t>Monitoring Media Pluralism in the Digital Era</w:t>
      </w:r>
      <w:r w:rsidRPr="00FD428B">
        <w:t>. Florence: Centre for Media Pluralism and Media Freedom (CMPF), Media Pluralism Monitor (MPM). Available:  https://cadmus.eui.eu/handle/1814/74706 (accessed: 26 September 2022).</w:t>
      </w:r>
    </w:p>
    <w:p w14:paraId="30A1EAE7" w14:textId="77777777" w:rsidR="00647F7D" w:rsidRDefault="00D97AF7" w:rsidP="00647F7D">
      <w:pPr>
        <w:spacing w:line="240" w:lineRule="auto"/>
        <w:ind w:left="283" w:hanging="283"/>
        <w:rPr>
          <w:lang w:val="de-DE"/>
        </w:rPr>
      </w:pPr>
      <w:r w:rsidRPr="65C97D40">
        <w:rPr>
          <w:lang w:val="de-DE"/>
        </w:rPr>
        <w:t>von Rimscha, M. B. (</w:t>
      </w:r>
      <w:r>
        <w:rPr>
          <w:lang w:val="de-DE"/>
        </w:rPr>
        <w:t>forthcoming 2024</w:t>
      </w:r>
      <w:r w:rsidRPr="65C97D40">
        <w:rPr>
          <w:lang w:val="de-DE"/>
        </w:rPr>
        <w:t xml:space="preserve">). Regulierung von Werbeinhalten [Regulation of Advertising Content]. In H. Gundlach (ed.), </w:t>
      </w:r>
      <w:r w:rsidRPr="65C97D40">
        <w:rPr>
          <w:i/>
          <w:iCs/>
          <w:lang w:val="de-DE"/>
        </w:rPr>
        <w:t>Handbuch Medienregulierung: Handbuch für Wissenschaft und Studium</w:t>
      </w:r>
      <w:r w:rsidRPr="65C97D40">
        <w:rPr>
          <w:lang w:val="de-DE"/>
        </w:rPr>
        <w:t>.</w:t>
      </w:r>
    </w:p>
    <w:p w14:paraId="4EBD6A52" w14:textId="77777777" w:rsidR="00647F7D" w:rsidRDefault="00647F7D" w:rsidP="00647F7D">
      <w:pPr>
        <w:spacing w:line="240" w:lineRule="auto"/>
      </w:pPr>
    </w:p>
    <w:p w14:paraId="53A4B3CA" w14:textId="77777777" w:rsidR="00647F7D" w:rsidRPr="008D27DF" w:rsidRDefault="00647F7D" w:rsidP="00647F7D">
      <w:pPr>
        <w:pStyle w:val="Tableheadings"/>
        <w:spacing w:line="240" w:lineRule="auto"/>
      </w:pPr>
    </w:p>
    <w:sectPr w:rsidR="00647F7D" w:rsidRPr="008D27DF" w:rsidSect="000D63FE">
      <w:headerReference w:type="default" r:id="rId288"/>
      <w:footerReference w:type="first" r:id="rId289"/>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4C0EAA" w14:textId="77777777" w:rsidR="005C657B" w:rsidRDefault="005C657B">
      <w:pPr>
        <w:spacing w:after="0" w:line="240" w:lineRule="auto"/>
      </w:pPr>
      <w:r>
        <w:separator/>
      </w:r>
    </w:p>
  </w:endnote>
  <w:endnote w:type="continuationSeparator" w:id="0">
    <w:p w14:paraId="2D1F416D" w14:textId="77777777" w:rsidR="005C657B" w:rsidRDefault="005C65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panose1 w:val="020B0604020202020204"/>
    <w:charset w:val="00"/>
    <w:family w:val="auto"/>
    <w:pitch w:val="default"/>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Calibri">
    <w:panose1 w:val="020F0502020204030204"/>
    <w:charset w:val="00"/>
    <w:family w:val="swiss"/>
    <w:pitch w:val="variable"/>
    <w:sig w:usb0="E0002AFF" w:usb1="C000ACFF"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18901" w14:textId="77777777" w:rsidR="002B4677" w:rsidRDefault="002B4677" w:rsidP="005372F1">
    <w:pPr>
      <w:pStyle w:val="Footer"/>
      <w:spacing w:before="2880"/>
    </w:pPr>
    <w:r>
      <w:rPr>
        <w:noProof/>
        <w:lang w:val="es-ES" w:eastAsia="es-ES"/>
      </w:rPr>
      <w:drawing>
        <wp:anchor distT="0" distB="0" distL="114300" distR="114300" simplePos="0" relativeHeight="251662336" behindDoc="0" locked="0" layoutInCell="1" allowOverlap="1" wp14:anchorId="00D8C6C3" wp14:editId="174DC903">
          <wp:simplePos x="0" y="0"/>
          <wp:positionH relativeFrom="column">
            <wp:posOffset>1427784</wp:posOffset>
          </wp:positionH>
          <wp:positionV relativeFrom="paragraph">
            <wp:posOffset>1732280</wp:posOffset>
          </wp:positionV>
          <wp:extent cx="1212850" cy="302895"/>
          <wp:effectExtent l="0" t="0" r="6350" b="1905"/>
          <wp:wrapNone/>
          <wp:docPr id="1703513081"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59264" behindDoc="0" locked="0" layoutInCell="1" allowOverlap="1" wp14:anchorId="1E2524FA" wp14:editId="1208423C">
          <wp:simplePos x="0" y="0"/>
          <wp:positionH relativeFrom="column">
            <wp:posOffset>1762174</wp:posOffset>
          </wp:positionH>
          <wp:positionV relativeFrom="paragraph">
            <wp:posOffset>1040130</wp:posOffset>
          </wp:positionV>
          <wp:extent cx="1565275" cy="398780"/>
          <wp:effectExtent l="0" t="0" r="0" b="1270"/>
          <wp:wrapNone/>
          <wp:docPr id="1383635132"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0288" behindDoc="0" locked="0" layoutInCell="1" allowOverlap="1" wp14:anchorId="61E1A47D" wp14:editId="287049CF">
          <wp:simplePos x="0" y="0"/>
          <wp:positionH relativeFrom="column">
            <wp:posOffset>-35560</wp:posOffset>
          </wp:positionH>
          <wp:positionV relativeFrom="paragraph">
            <wp:posOffset>1040765</wp:posOffset>
          </wp:positionV>
          <wp:extent cx="1563370" cy="398145"/>
          <wp:effectExtent l="0" t="0" r="0" b="1905"/>
          <wp:wrapNone/>
          <wp:docPr id="499085621"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58240" behindDoc="0" locked="0" layoutInCell="1" allowOverlap="1" wp14:anchorId="76CC45B0" wp14:editId="159A79AF">
          <wp:simplePos x="0" y="0"/>
          <wp:positionH relativeFrom="column">
            <wp:posOffset>2990850</wp:posOffset>
          </wp:positionH>
          <wp:positionV relativeFrom="paragraph">
            <wp:posOffset>1700530</wp:posOffset>
          </wp:positionV>
          <wp:extent cx="1320800" cy="346075"/>
          <wp:effectExtent l="0" t="0" r="0" b="0"/>
          <wp:wrapNone/>
          <wp:docPr id="1000042624"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3360" behindDoc="0" locked="0" layoutInCell="1" allowOverlap="1" wp14:anchorId="623AF514" wp14:editId="0AD8FD8D">
          <wp:simplePos x="0" y="0"/>
          <wp:positionH relativeFrom="column">
            <wp:posOffset>5451475</wp:posOffset>
          </wp:positionH>
          <wp:positionV relativeFrom="paragraph">
            <wp:posOffset>1243330</wp:posOffset>
          </wp:positionV>
          <wp:extent cx="504825" cy="690245"/>
          <wp:effectExtent l="0" t="0" r="9525" b="0"/>
          <wp:wrapNone/>
          <wp:docPr id="994675766"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eastAsia="es-ES"/>
      </w:rPr>
      <w:drawing>
        <wp:anchor distT="0" distB="0" distL="114300" distR="114300" simplePos="0" relativeHeight="251664384" behindDoc="0" locked="0" layoutInCell="1" allowOverlap="1" wp14:anchorId="4183B24F" wp14:editId="745C615B">
          <wp:simplePos x="0" y="0"/>
          <wp:positionH relativeFrom="column">
            <wp:posOffset>6175375</wp:posOffset>
          </wp:positionH>
          <wp:positionV relativeFrom="paragraph">
            <wp:posOffset>1243330</wp:posOffset>
          </wp:positionV>
          <wp:extent cx="623570" cy="717550"/>
          <wp:effectExtent l="0" t="0" r="5080" b="6350"/>
          <wp:wrapNone/>
          <wp:docPr id="1424873792"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a:blip r:embed="rId6">
                    <a:extLst>
                      <a:ext uri="{28A0092B-C50C-407E-A947-70E740481C1C}">
                        <a14:useLocalDpi xmlns:a14="http://schemas.microsoft.com/office/drawing/2010/main" val="0"/>
                      </a:ext>
                    </a:extLst>
                  </a:blip>
                  <a:srcRect l="17446" t="12800" r="20426" b="14784"/>
                  <a:stretch>
                    <a:fillRect/>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lang w:val="es-ES" w:eastAsia="es-ES"/>
      </w:rPr>
      <w:drawing>
        <wp:anchor distT="0" distB="0" distL="114300" distR="114300" simplePos="0" relativeHeight="251661312" behindDoc="0" locked="0" layoutInCell="1" allowOverlap="1" wp14:anchorId="170FC60A" wp14:editId="532D295A">
          <wp:simplePos x="0" y="0"/>
          <wp:positionH relativeFrom="column">
            <wp:posOffset>-38100</wp:posOffset>
          </wp:positionH>
          <wp:positionV relativeFrom="paragraph">
            <wp:posOffset>1732280</wp:posOffset>
          </wp:positionV>
          <wp:extent cx="1214012" cy="318678"/>
          <wp:effectExtent l="0" t="0" r="5715" b="5715"/>
          <wp:wrapNone/>
          <wp:docPr id="934550111"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5216AC" w14:textId="77777777" w:rsidR="005C657B" w:rsidRDefault="005C657B">
      <w:pPr>
        <w:spacing w:after="0" w:line="240" w:lineRule="auto"/>
      </w:pPr>
      <w:r>
        <w:separator/>
      </w:r>
    </w:p>
  </w:footnote>
  <w:footnote w:type="continuationSeparator" w:id="0">
    <w:p w14:paraId="7CFCD79A" w14:textId="77777777" w:rsidR="005C657B" w:rsidRDefault="005C657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cs="Arial"/>
      </w:rPr>
      <w:id w:val="1925066077"/>
      <w:docPartObj>
        <w:docPartGallery w:val="Page Numbers (Bottom of Page)"/>
        <w:docPartUnique/>
      </w:docPartObj>
    </w:sdtPr>
    <w:sdtContent>
      <w:p w14:paraId="1477BB2F" w14:textId="1C905310" w:rsidR="002B4677" w:rsidRPr="0016559B" w:rsidRDefault="002B4677" w:rsidP="00CB5035">
        <w:pPr>
          <w:pStyle w:val="Footer"/>
          <w:framePr w:wrap="none" w:vAnchor="text" w:hAnchor="page" w:x="15591" w:y="1"/>
          <w:rPr>
            <w:rStyle w:val="PageNumber"/>
            <w:rFonts w:cs="Arial"/>
          </w:rPr>
        </w:pPr>
        <w:r w:rsidRPr="0016559B">
          <w:rPr>
            <w:rStyle w:val="PageNumber"/>
            <w:rFonts w:cs="Arial"/>
            <w:sz w:val="18"/>
            <w:szCs w:val="18"/>
          </w:rPr>
          <w:fldChar w:fldCharType="begin"/>
        </w:r>
        <w:r w:rsidRPr="0016559B">
          <w:rPr>
            <w:rStyle w:val="PageNumber"/>
            <w:rFonts w:cs="Arial"/>
            <w:sz w:val="18"/>
            <w:szCs w:val="18"/>
          </w:rPr>
          <w:instrText xml:space="preserve"> PAGE </w:instrText>
        </w:r>
        <w:r w:rsidRPr="0016559B">
          <w:rPr>
            <w:rStyle w:val="PageNumber"/>
            <w:rFonts w:cs="Arial"/>
            <w:sz w:val="18"/>
            <w:szCs w:val="18"/>
          </w:rPr>
          <w:fldChar w:fldCharType="separate"/>
        </w:r>
        <w:r w:rsidR="00CF7117">
          <w:rPr>
            <w:rStyle w:val="PageNumber"/>
            <w:rFonts w:cs="Arial"/>
            <w:noProof/>
            <w:sz w:val="18"/>
            <w:szCs w:val="18"/>
          </w:rPr>
          <w:t>54</w:t>
        </w:r>
        <w:r w:rsidRPr="0016559B">
          <w:rPr>
            <w:rStyle w:val="PageNumber"/>
            <w:rFonts w:cs="Arial"/>
            <w:sz w:val="18"/>
            <w:szCs w:val="18"/>
          </w:rPr>
          <w:fldChar w:fldCharType="end"/>
        </w:r>
      </w:p>
    </w:sdtContent>
  </w:sdt>
  <w:p w14:paraId="5054AC93" w14:textId="14F647A7" w:rsidR="002B4677" w:rsidRPr="00CB5035" w:rsidRDefault="002B4677"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cs="Arial"/>
        <w:b/>
        <w:bCs/>
        <w:color w:val="595959" w:themeColor="text1" w:themeTint="A6"/>
        <w:sz w:val="18"/>
        <w:szCs w:val="18"/>
        <w:shd w:val="clear" w:color="auto" w:fill="FFFFFF"/>
      </w:rPr>
      <w:t>Branded Content Governance Project</w:t>
    </w:r>
    <w:r w:rsidRPr="00686D2A">
      <w:rPr>
        <w:rFonts w:eastAsia="Times New Roman" w:cs="Arial"/>
        <w:color w:val="595959" w:themeColor="text1" w:themeTint="A6"/>
        <w:sz w:val="18"/>
        <w:szCs w:val="18"/>
        <w:shd w:val="clear" w:color="auto" w:fill="FFFFFF"/>
      </w:rPr>
      <w:t xml:space="preserve"> | Country &amp; Date </w:t>
    </w:r>
    <w:r w:rsidRPr="00686D2A">
      <w:rPr>
        <w:rFonts w:eastAsia="Times New Roman" w:cs="Arial"/>
        <w:color w:val="595959" w:themeColor="text1" w:themeTint="A6"/>
        <w:sz w:val="18"/>
        <w:szCs w:val="18"/>
        <w:shd w:val="clear" w:color="auto" w:fill="FFFFFF"/>
      </w:rPr>
      <w:tab/>
    </w:r>
    <w:r w:rsidRPr="00686D2A">
      <w:rPr>
        <w:rFonts w:eastAsia="Times New Roman" w:cs="Arial"/>
        <w:color w:val="595959" w:themeColor="text1" w:themeTint="A6"/>
        <w:sz w:val="18"/>
        <w:szCs w:val="18"/>
        <w:shd w:val="clear" w:color="auto" w:fill="FFFFFF"/>
      </w:rPr>
      <w:tab/>
    </w:r>
    <w:r>
      <w:rPr>
        <w:rFonts w:eastAsia="Times New Roman" w:cs="Arial"/>
        <w:color w:val="222222"/>
        <w:sz w:val="18"/>
        <w:szCs w:val="18"/>
        <w:shd w:val="clear" w:color="auto" w:fill="FFFFFF"/>
      </w:rPr>
      <w:tab/>
      <w:t xml:space="preserve">              </w:t>
    </w:r>
    <w:r>
      <w:rPr>
        <w:rFonts w:eastAsia="Times New Roman" w:cs="Arial"/>
        <w:color w:val="222222"/>
        <w:sz w:val="18"/>
        <w:szCs w:val="18"/>
        <w:shd w:val="clear" w:color="auto" w:fill="FFFFFF"/>
      </w:rPr>
      <w:tab/>
    </w:r>
    <w:r w:rsidRPr="00686D2A">
      <w:rPr>
        <w:rFonts w:eastAsia="Times New Roman" w:cs="Arial"/>
        <w:color w:val="595959" w:themeColor="text1" w:themeTint="A6"/>
        <w:sz w:val="18"/>
        <w:szCs w:val="18"/>
        <w:shd w:val="clear" w:color="auto" w:fill="FFFFFF"/>
      </w:rPr>
      <w:fldChar w:fldCharType="begin"/>
    </w:r>
    <w:r w:rsidRPr="00686D2A">
      <w:rPr>
        <w:rFonts w:eastAsia="Times New Roman" w:cs="Arial"/>
        <w:color w:val="595959" w:themeColor="text1" w:themeTint="A6"/>
        <w:sz w:val="18"/>
        <w:szCs w:val="18"/>
        <w:shd w:val="clear" w:color="auto" w:fill="FFFFFF"/>
      </w:rPr>
      <w:instrText>PAGE   \* MERGEFORMAT</w:instrText>
    </w:r>
    <w:r w:rsidRPr="00686D2A">
      <w:rPr>
        <w:rFonts w:eastAsia="Times New Roman" w:cs="Arial"/>
        <w:color w:val="595959" w:themeColor="text1" w:themeTint="A6"/>
        <w:sz w:val="18"/>
        <w:szCs w:val="18"/>
        <w:shd w:val="clear" w:color="auto" w:fill="FFFFFF"/>
      </w:rPr>
      <w:fldChar w:fldCharType="separate"/>
    </w:r>
    <w:r w:rsidR="00CF7117">
      <w:rPr>
        <w:rFonts w:eastAsia="Times New Roman" w:cs="Arial"/>
        <w:noProof/>
        <w:color w:val="595959" w:themeColor="text1" w:themeTint="A6"/>
        <w:sz w:val="18"/>
        <w:szCs w:val="18"/>
        <w:shd w:val="clear" w:color="auto" w:fill="FFFFFF"/>
      </w:rPr>
      <w:t>54</w:t>
    </w:r>
    <w:r w:rsidRPr="00686D2A">
      <w:rPr>
        <w:rFonts w:eastAsia="Times New Roman" w:cs="Arial"/>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A0B72"/>
    <w:multiLevelType w:val="multilevel"/>
    <w:tmpl w:val="65DC12D4"/>
    <w:lvl w:ilvl="0">
      <w:start w:val="1"/>
      <w:numFmt w:val="decimal"/>
      <w:lvlText w:val="%1."/>
      <w:lvlJc w:val="left"/>
      <w:pPr>
        <w:ind w:left="720" w:hanging="360"/>
      </w:pPr>
    </w:lvl>
    <w:lvl w:ilvl="1">
      <w:start w:val="1"/>
      <w:numFmt w:val="lowerRoman"/>
      <w:lvlText w:val="(%2)"/>
      <w:lvlJc w:val="lef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93B5B4F"/>
    <w:multiLevelType w:val="multilevel"/>
    <w:tmpl w:val="4AF2B0FA"/>
    <w:lvl w:ilvl="0">
      <w:start w:val="2"/>
      <w:numFmt w:val="lowerLetter"/>
      <w:lvlText w:val="(%1)"/>
      <w:lvlJc w:val="righ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E5C1C6A"/>
    <w:multiLevelType w:val="hybridMultilevel"/>
    <w:tmpl w:val="C15C7A76"/>
    <w:lvl w:ilvl="0" w:tplc="B3520746">
      <w:start w:val="1"/>
      <w:numFmt w:val="lowerLetter"/>
      <w:lvlText w:val="(%1)"/>
      <w:lvlJc w:val="left"/>
      <w:pPr>
        <w:ind w:left="720" w:hanging="360"/>
      </w:pPr>
      <w:rPr>
        <w:rFonts w:hint="default"/>
      </w:rPr>
    </w:lvl>
    <w:lvl w:ilvl="1" w:tplc="7C88EB64" w:tentative="1">
      <w:start w:val="1"/>
      <w:numFmt w:val="lowerLetter"/>
      <w:lvlText w:val="%2."/>
      <w:lvlJc w:val="left"/>
      <w:pPr>
        <w:ind w:left="1440" w:hanging="360"/>
      </w:pPr>
    </w:lvl>
    <w:lvl w:ilvl="2" w:tplc="E77E7950" w:tentative="1">
      <w:start w:val="1"/>
      <w:numFmt w:val="lowerRoman"/>
      <w:lvlText w:val="%3."/>
      <w:lvlJc w:val="right"/>
      <w:pPr>
        <w:ind w:left="2160" w:hanging="180"/>
      </w:pPr>
    </w:lvl>
    <w:lvl w:ilvl="3" w:tplc="62664FF0" w:tentative="1">
      <w:start w:val="1"/>
      <w:numFmt w:val="decimal"/>
      <w:lvlText w:val="%4."/>
      <w:lvlJc w:val="left"/>
      <w:pPr>
        <w:ind w:left="2880" w:hanging="360"/>
      </w:pPr>
    </w:lvl>
    <w:lvl w:ilvl="4" w:tplc="1E8AD660" w:tentative="1">
      <w:start w:val="1"/>
      <w:numFmt w:val="lowerLetter"/>
      <w:lvlText w:val="%5."/>
      <w:lvlJc w:val="left"/>
      <w:pPr>
        <w:ind w:left="3600" w:hanging="360"/>
      </w:pPr>
    </w:lvl>
    <w:lvl w:ilvl="5" w:tplc="BF3AB918" w:tentative="1">
      <w:start w:val="1"/>
      <w:numFmt w:val="lowerRoman"/>
      <w:lvlText w:val="%6."/>
      <w:lvlJc w:val="right"/>
      <w:pPr>
        <w:ind w:left="4320" w:hanging="180"/>
      </w:pPr>
    </w:lvl>
    <w:lvl w:ilvl="6" w:tplc="4BA8BA52" w:tentative="1">
      <w:start w:val="1"/>
      <w:numFmt w:val="decimal"/>
      <w:lvlText w:val="%7."/>
      <w:lvlJc w:val="left"/>
      <w:pPr>
        <w:ind w:left="5040" w:hanging="360"/>
      </w:pPr>
    </w:lvl>
    <w:lvl w:ilvl="7" w:tplc="6B669162" w:tentative="1">
      <w:start w:val="1"/>
      <w:numFmt w:val="lowerLetter"/>
      <w:lvlText w:val="%8."/>
      <w:lvlJc w:val="left"/>
      <w:pPr>
        <w:ind w:left="5760" w:hanging="360"/>
      </w:pPr>
    </w:lvl>
    <w:lvl w:ilvl="8" w:tplc="E7A0A93C" w:tentative="1">
      <w:start w:val="1"/>
      <w:numFmt w:val="lowerRoman"/>
      <w:lvlText w:val="%9."/>
      <w:lvlJc w:val="right"/>
      <w:pPr>
        <w:ind w:left="6480" w:hanging="180"/>
      </w:pPr>
    </w:lvl>
  </w:abstractNum>
  <w:abstractNum w:abstractNumId="3" w15:restartNumberingAfterBreak="0">
    <w:nsid w:val="10BA6BD2"/>
    <w:multiLevelType w:val="hybridMultilevel"/>
    <w:tmpl w:val="396A1814"/>
    <w:lvl w:ilvl="0" w:tplc="D98A1C2A">
      <w:start w:val="1"/>
      <w:numFmt w:val="bullet"/>
      <w:lvlText w:val=""/>
      <w:lvlJc w:val="left"/>
      <w:pPr>
        <w:ind w:left="720" w:hanging="360"/>
      </w:pPr>
      <w:rPr>
        <w:rFonts w:ascii="Symbol" w:hAnsi="Symbol" w:hint="default"/>
      </w:rPr>
    </w:lvl>
    <w:lvl w:ilvl="1" w:tplc="D2E2DA24" w:tentative="1">
      <w:start w:val="1"/>
      <w:numFmt w:val="bullet"/>
      <w:lvlText w:val="o"/>
      <w:lvlJc w:val="left"/>
      <w:pPr>
        <w:ind w:left="1440" w:hanging="360"/>
      </w:pPr>
      <w:rPr>
        <w:rFonts w:ascii="Courier New" w:hAnsi="Courier New" w:cs="Courier New" w:hint="default"/>
      </w:rPr>
    </w:lvl>
    <w:lvl w:ilvl="2" w:tplc="0FDE17CA" w:tentative="1">
      <w:start w:val="1"/>
      <w:numFmt w:val="bullet"/>
      <w:lvlText w:val=""/>
      <w:lvlJc w:val="left"/>
      <w:pPr>
        <w:ind w:left="2160" w:hanging="360"/>
      </w:pPr>
      <w:rPr>
        <w:rFonts w:ascii="Wingdings" w:hAnsi="Wingdings" w:hint="default"/>
      </w:rPr>
    </w:lvl>
    <w:lvl w:ilvl="3" w:tplc="EF22A5FA" w:tentative="1">
      <w:start w:val="1"/>
      <w:numFmt w:val="bullet"/>
      <w:lvlText w:val=""/>
      <w:lvlJc w:val="left"/>
      <w:pPr>
        <w:ind w:left="2880" w:hanging="360"/>
      </w:pPr>
      <w:rPr>
        <w:rFonts w:ascii="Symbol" w:hAnsi="Symbol" w:hint="default"/>
      </w:rPr>
    </w:lvl>
    <w:lvl w:ilvl="4" w:tplc="E9F892A4" w:tentative="1">
      <w:start w:val="1"/>
      <w:numFmt w:val="bullet"/>
      <w:lvlText w:val="o"/>
      <w:lvlJc w:val="left"/>
      <w:pPr>
        <w:ind w:left="3600" w:hanging="360"/>
      </w:pPr>
      <w:rPr>
        <w:rFonts w:ascii="Courier New" w:hAnsi="Courier New" w:cs="Courier New" w:hint="default"/>
      </w:rPr>
    </w:lvl>
    <w:lvl w:ilvl="5" w:tplc="277E792C" w:tentative="1">
      <w:start w:val="1"/>
      <w:numFmt w:val="bullet"/>
      <w:lvlText w:val=""/>
      <w:lvlJc w:val="left"/>
      <w:pPr>
        <w:ind w:left="4320" w:hanging="360"/>
      </w:pPr>
      <w:rPr>
        <w:rFonts w:ascii="Wingdings" w:hAnsi="Wingdings" w:hint="default"/>
      </w:rPr>
    </w:lvl>
    <w:lvl w:ilvl="6" w:tplc="092C5F52" w:tentative="1">
      <w:start w:val="1"/>
      <w:numFmt w:val="bullet"/>
      <w:lvlText w:val=""/>
      <w:lvlJc w:val="left"/>
      <w:pPr>
        <w:ind w:left="5040" w:hanging="360"/>
      </w:pPr>
      <w:rPr>
        <w:rFonts w:ascii="Symbol" w:hAnsi="Symbol" w:hint="default"/>
      </w:rPr>
    </w:lvl>
    <w:lvl w:ilvl="7" w:tplc="3BF6A45A" w:tentative="1">
      <w:start w:val="1"/>
      <w:numFmt w:val="bullet"/>
      <w:lvlText w:val="o"/>
      <w:lvlJc w:val="left"/>
      <w:pPr>
        <w:ind w:left="5760" w:hanging="360"/>
      </w:pPr>
      <w:rPr>
        <w:rFonts w:ascii="Courier New" w:hAnsi="Courier New" w:cs="Courier New" w:hint="default"/>
      </w:rPr>
    </w:lvl>
    <w:lvl w:ilvl="8" w:tplc="900A74DA" w:tentative="1">
      <w:start w:val="1"/>
      <w:numFmt w:val="bullet"/>
      <w:lvlText w:val=""/>
      <w:lvlJc w:val="left"/>
      <w:pPr>
        <w:ind w:left="6480" w:hanging="360"/>
      </w:pPr>
      <w:rPr>
        <w:rFonts w:ascii="Wingdings" w:hAnsi="Wingdings" w:hint="default"/>
      </w:rPr>
    </w:lvl>
  </w:abstractNum>
  <w:abstractNum w:abstractNumId="4" w15:restartNumberingAfterBreak="0">
    <w:nsid w:val="17E56F3E"/>
    <w:multiLevelType w:val="hybridMultilevel"/>
    <w:tmpl w:val="DE82AA9C"/>
    <w:lvl w:ilvl="0" w:tplc="D8F4C38C">
      <w:start w:val="1"/>
      <w:numFmt w:val="bullet"/>
      <w:lvlText w:val=""/>
      <w:lvlJc w:val="left"/>
      <w:pPr>
        <w:ind w:left="720" w:hanging="360"/>
      </w:pPr>
      <w:rPr>
        <w:rFonts w:ascii="Symbol" w:hAnsi="Symbol" w:hint="default"/>
      </w:rPr>
    </w:lvl>
    <w:lvl w:ilvl="1" w:tplc="45D66E14" w:tentative="1">
      <w:start w:val="1"/>
      <w:numFmt w:val="bullet"/>
      <w:lvlText w:val="o"/>
      <w:lvlJc w:val="left"/>
      <w:pPr>
        <w:ind w:left="1440" w:hanging="360"/>
      </w:pPr>
      <w:rPr>
        <w:rFonts w:ascii="Courier New" w:hAnsi="Courier New" w:cs="Courier New" w:hint="default"/>
      </w:rPr>
    </w:lvl>
    <w:lvl w:ilvl="2" w:tplc="7840B24C" w:tentative="1">
      <w:start w:val="1"/>
      <w:numFmt w:val="bullet"/>
      <w:lvlText w:val=""/>
      <w:lvlJc w:val="left"/>
      <w:pPr>
        <w:ind w:left="2160" w:hanging="360"/>
      </w:pPr>
      <w:rPr>
        <w:rFonts w:ascii="Wingdings" w:hAnsi="Wingdings" w:hint="default"/>
      </w:rPr>
    </w:lvl>
    <w:lvl w:ilvl="3" w:tplc="85D6DF9A" w:tentative="1">
      <w:start w:val="1"/>
      <w:numFmt w:val="bullet"/>
      <w:lvlText w:val=""/>
      <w:lvlJc w:val="left"/>
      <w:pPr>
        <w:ind w:left="2880" w:hanging="360"/>
      </w:pPr>
      <w:rPr>
        <w:rFonts w:ascii="Symbol" w:hAnsi="Symbol" w:hint="default"/>
      </w:rPr>
    </w:lvl>
    <w:lvl w:ilvl="4" w:tplc="BC06E6FE" w:tentative="1">
      <w:start w:val="1"/>
      <w:numFmt w:val="bullet"/>
      <w:lvlText w:val="o"/>
      <w:lvlJc w:val="left"/>
      <w:pPr>
        <w:ind w:left="3600" w:hanging="360"/>
      </w:pPr>
      <w:rPr>
        <w:rFonts w:ascii="Courier New" w:hAnsi="Courier New" w:cs="Courier New" w:hint="default"/>
      </w:rPr>
    </w:lvl>
    <w:lvl w:ilvl="5" w:tplc="21088A16" w:tentative="1">
      <w:start w:val="1"/>
      <w:numFmt w:val="bullet"/>
      <w:lvlText w:val=""/>
      <w:lvlJc w:val="left"/>
      <w:pPr>
        <w:ind w:left="4320" w:hanging="360"/>
      </w:pPr>
      <w:rPr>
        <w:rFonts w:ascii="Wingdings" w:hAnsi="Wingdings" w:hint="default"/>
      </w:rPr>
    </w:lvl>
    <w:lvl w:ilvl="6" w:tplc="14289AD0" w:tentative="1">
      <w:start w:val="1"/>
      <w:numFmt w:val="bullet"/>
      <w:lvlText w:val=""/>
      <w:lvlJc w:val="left"/>
      <w:pPr>
        <w:ind w:left="5040" w:hanging="360"/>
      </w:pPr>
      <w:rPr>
        <w:rFonts w:ascii="Symbol" w:hAnsi="Symbol" w:hint="default"/>
      </w:rPr>
    </w:lvl>
    <w:lvl w:ilvl="7" w:tplc="906E3CDA" w:tentative="1">
      <w:start w:val="1"/>
      <w:numFmt w:val="bullet"/>
      <w:lvlText w:val="o"/>
      <w:lvlJc w:val="left"/>
      <w:pPr>
        <w:ind w:left="5760" w:hanging="360"/>
      </w:pPr>
      <w:rPr>
        <w:rFonts w:ascii="Courier New" w:hAnsi="Courier New" w:cs="Courier New" w:hint="default"/>
      </w:rPr>
    </w:lvl>
    <w:lvl w:ilvl="8" w:tplc="F0522238" w:tentative="1">
      <w:start w:val="1"/>
      <w:numFmt w:val="bullet"/>
      <w:lvlText w:val=""/>
      <w:lvlJc w:val="left"/>
      <w:pPr>
        <w:ind w:left="6480" w:hanging="360"/>
      </w:pPr>
      <w:rPr>
        <w:rFonts w:ascii="Wingdings" w:hAnsi="Wingdings" w:hint="default"/>
      </w:rPr>
    </w:lvl>
  </w:abstractNum>
  <w:abstractNum w:abstractNumId="5" w15:restartNumberingAfterBreak="0">
    <w:nsid w:val="1DC41458"/>
    <w:multiLevelType w:val="multilevel"/>
    <w:tmpl w:val="6B2255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46B5D02"/>
    <w:multiLevelType w:val="multilevel"/>
    <w:tmpl w:val="C2D4D1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3C24747"/>
    <w:multiLevelType w:val="hybridMultilevel"/>
    <w:tmpl w:val="1540967E"/>
    <w:lvl w:ilvl="0" w:tplc="7D467DA8">
      <w:start w:val="1"/>
      <w:numFmt w:val="decimal"/>
      <w:lvlText w:val="%1."/>
      <w:lvlJc w:val="left"/>
      <w:pPr>
        <w:ind w:left="6070" w:hanging="400"/>
      </w:pPr>
      <w:rPr>
        <w:rFonts w:hint="default"/>
      </w:rPr>
    </w:lvl>
    <w:lvl w:ilvl="1" w:tplc="F3CEDA40" w:tentative="1">
      <w:start w:val="1"/>
      <w:numFmt w:val="lowerLetter"/>
      <w:lvlText w:val="%2."/>
      <w:lvlJc w:val="left"/>
      <w:pPr>
        <w:ind w:left="6750" w:hanging="360"/>
      </w:pPr>
    </w:lvl>
    <w:lvl w:ilvl="2" w:tplc="627A5144" w:tentative="1">
      <w:start w:val="1"/>
      <w:numFmt w:val="lowerRoman"/>
      <w:lvlText w:val="%3."/>
      <w:lvlJc w:val="right"/>
      <w:pPr>
        <w:ind w:left="7470" w:hanging="180"/>
      </w:pPr>
    </w:lvl>
    <w:lvl w:ilvl="3" w:tplc="061E00DA" w:tentative="1">
      <w:start w:val="1"/>
      <w:numFmt w:val="decimal"/>
      <w:lvlText w:val="%4."/>
      <w:lvlJc w:val="left"/>
      <w:pPr>
        <w:ind w:left="8190" w:hanging="360"/>
      </w:pPr>
    </w:lvl>
    <w:lvl w:ilvl="4" w:tplc="007AC22E" w:tentative="1">
      <w:start w:val="1"/>
      <w:numFmt w:val="lowerLetter"/>
      <w:lvlText w:val="%5."/>
      <w:lvlJc w:val="left"/>
      <w:pPr>
        <w:ind w:left="8910" w:hanging="360"/>
      </w:pPr>
    </w:lvl>
    <w:lvl w:ilvl="5" w:tplc="FCD662FA" w:tentative="1">
      <w:start w:val="1"/>
      <w:numFmt w:val="lowerRoman"/>
      <w:lvlText w:val="%6."/>
      <w:lvlJc w:val="right"/>
      <w:pPr>
        <w:ind w:left="9630" w:hanging="180"/>
      </w:pPr>
    </w:lvl>
    <w:lvl w:ilvl="6" w:tplc="6820F27A" w:tentative="1">
      <w:start w:val="1"/>
      <w:numFmt w:val="decimal"/>
      <w:lvlText w:val="%7."/>
      <w:lvlJc w:val="left"/>
      <w:pPr>
        <w:ind w:left="10350" w:hanging="360"/>
      </w:pPr>
    </w:lvl>
    <w:lvl w:ilvl="7" w:tplc="EC10A378" w:tentative="1">
      <w:start w:val="1"/>
      <w:numFmt w:val="lowerLetter"/>
      <w:lvlText w:val="%8."/>
      <w:lvlJc w:val="left"/>
      <w:pPr>
        <w:ind w:left="11070" w:hanging="360"/>
      </w:pPr>
    </w:lvl>
    <w:lvl w:ilvl="8" w:tplc="C054EFA8" w:tentative="1">
      <w:start w:val="1"/>
      <w:numFmt w:val="lowerRoman"/>
      <w:lvlText w:val="%9."/>
      <w:lvlJc w:val="right"/>
      <w:pPr>
        <w:ind w:left="11790" w:hanging="180"/>
      </w:pPr>
    </w:lvl>
  </w:abstractNum>
  <w:abstractNum w:abstractNumId="8" w15:restartNumberingAfterBreak="0">
    <w:nsid w:val="38915DCF"/>
    <w:multiLevelType w:val="multilevel"/>
    <w:tmpl w:val="4300E7AC"/>
    <w:lvl w:ilvl="0">
      <w:start w:val="1"/>
      <w:numFmt w:val="decimal"/>
      <w:lvlText w:val="%1."/>
      <w:lvlJc w:val="left"/>
      <w:pPr>
        <w:ind w:left="720" w:hanging="360"/>
      </w:pPr>
    </w:lvl>
    <w:lvl w:ilvl="1">
      <w:start w:val="1"/>
      <w:numFmt w:val="lowerRoman"/>
      <w:lvlText w:val="(%2)"/>
      <w:lvlJc w:val="right"/>
      <w:pPr>
        <w:ind w:left="1440" w:hanging="360"/>
      </w:pPr>
      <w:rPr>
        <w:rFonts w:ascii="Arial" w:eastAsia="Arial"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1504943"/>
    <w:multiLevelType w:val="multilevel"/>
    <w:tmpl w:val="893C4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6672C49"/>
    <w:multiLevelType w:val="hybridMultilevel"/>
    <w:tmpl w:val="353462E2"/>
    <w:lvl w:ilvl="0" w:tplc="69E4AB5A">
      <w:start w:val="1"/>
      <w:numFmt w:val="bullet"/>
      <w:lvlText w:val=""/>
      <w:lvlJc w:val="left"/>
      <w:pPr>
        <w:ind w:left="720" w:hanging="360"/>
      </w:pPr>
      <w:rPr>
        <w:rFonts w:ascii="Symbol" w:hAnsi="Symbol" w:hint="default"/>
      </w:rPr>
    </w:lvl>
    <w:lvl w:ilvl="1" w:tplc="4D32C5C2" w:tentative="1">
      <w:start w:val="1"/>
      <w:numFmt w:val="bullet"/>
      <w:lvlText w:val="o"/>
      <w:lvlJc w:val="left"/>
      <w:pPr>
        <w:ind w:left="1440" w:hanging="360"/>
      </w:pPr>
      <w:rPr>
        <w:rFonts w:ascii="Courier New" w:hAnsi="Courier New" w:cs="Courier New" w:hint="default"/>
      </w:rPr>
    </w:lvl>
    <w:lvl w:ilvl="2" w:tplc="539E3A3A" w:tentative="1">
      <w:start w:val="1"/>
      <w:numFmt w:val="bullet"/>
      <w:lvlText w:val=""/>
      <w:lvlJc w:val="left"/>
      <w:pPr>
        <w:ind w:left="2160" w:hanging="360"/>
      </w:pPr>
      <w:rPr>
        <w:rFonts w:ascii="Wingdings" w:hAnsi="Wingdings" w:hint="default"/>
      </w:rPr>
    </w:lvl>
    <w:lvl w:ilvl="3" w:tplc="50BA754A" w:tentative="1">
      <w:start w:val="1"/>
      <w:numFmt w:val="bullet"/>
      <w:lvlText w:val=""/>
      <w:lvlJc w:val="left"/>
      <w:pPr>
        <w:ind w:left="2880" w:hanging="360"/>
      </w:pPr>
      <w:rPr>
        <w:rFonts w:ascii="Symbol" w:hAnsi="Symbol" w:hint="default"/>
      </w:rPr>
    </w:lvl>
    <w:lvl w:ilvl="4" w:tplc="0502A10E" w:tentative="1">
      <w:start w:val="1"/>
      <w:numFmt w:val="bullet"/>
      <w:lvlText w:val="o"/>
      <w:lvlJc w:val="left"/>
      <w:pPr>
        <w:ind w:left="3600" w:hanging="360"/>
      </w:pPr>
      <w:rPr>
        <w:rFonts w:ascii="Courier New" w:hAnsi="Courier New" w:cs="Courier New" w:hint="default"/>
      </w:rPr>
    </w:lvl>
    <w:lvl w:ilvl="5" w:tplc="444A234E" w:tentative="1">
      <w:start w:val="1"/>
      <w:numFmt w:val="bullet"/>
      <w:lvlText w:val=""/>
      <w:lvlJc w:val="left"/>
      <w:pPr>
        <w:ind w:left="4320" w:hanging="360"/>
      </w:pPr>
      <w:rPr>
        <w:rFonts w:ascii="Wingdings" w:hAnsi="Wingdings" w:hint="default"/>
      </w:rPr>
    </w:lvl>
    <w:lvl w:ilvl="6" w:tplc="DD14DEEE" w:tentative="1">
      <w:start w:val="1"/>
      <w:numFmt w:val="bullet"/>
      <w:lvlText w:val=""/>
      <w:lvlJc w:val="left"/>
      <w:pPr>
        <w:ind w:left="5040" w:hanging="360"/>
      </w:pPr>
      <w:rPr>
        <w:rFonts w:ascii="Symbol" w:hAnsi="Symbol" w:hint="default"/>
      </w:rPr>
    </w:lvl>
    <w:lvl w:ilvl="7" w:tplc="D1F2EC88" w:tentative="1">
      <w:start w:val="1"/>
      <w:numFmt w:val="bullet"/>
      <w:lvlText w:val="o"/>
      <w:lvlJc w:val="left"/>
      <w:pPr>
        <w:ind w:left="5760" w:hanging="360"/>
      </w:pPr>
      <w:rPr>
        <w:rFonts w:ascii="Courier New" w:hAnsi="Courier New" w:cs="Courier New" w:hint="default"/>
      </w:rPr>
    </w:lvl>
    <w:lvl w:ilvl="8" w:tplc="C51A1016" w:tentative="1">
      <w:start w:val="1"/>
      <w:numFmt w:val="bullet"/>
      <w:lvlText w:val=""/>
      <w:lvlJc w:val="left"/>
      <w:pPr>
        <w:ind w:left="6480" w:hanging="360"/>
      </w:pPr>
      <w:rPr>
        <w:rFonts w:ascii="Wingdings" w:hAnsi="Wingdings" w:hint="default"/>
      </w:rPr>
    </w:lvl>
  </w:abstractNum>
  <w:abstractNum w:abstractNumId="11"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2" w15:restartNumberingAfterBreak="0">
    <w:nsid w:val="54017994"/>
    <w:multiLevelType w:val="multilevel"/>
    <w:tmpl w:val="0C1CEB7C"/>
    <w:lvl w:ilvl="0">
      <w:start w:val="1"/>
      <w:numFmt w:val="lowerLetter"/>
      <w:lvlText w:val="(%1)"/>
      <w:lvlJc w:val="right"/>
      <w:pPr>
        <w:ind w:left="720" w:hanging="360"/>
      </w:pPr>
      <w:rPr>
        <w:rFonts w:ascii="Arial" w:eastAsia="Arial" w:hAnsi="Arial" w:cs="Arial"/>
      </w:rPr>
    </w:lvl>
    <w:lvl w:ilvl="1">
      <w:start w:val="1"/>
      <w:numFmt w:val="lowerRoman"/>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B0E723B"/>
    <w:multiLevelType w:val="hybridMultilevel"/>
    <w:tmpl w:val="584AA6F6"/>
    <w:lvl w:ilvl="0" w:tplc="BEC4F0F4">
      <w:start w:val="1"/>
      <w:numFmt w:val="decimal"/>
      <w:pStyle w:val="Style2"/>
      <w:lvlText w:val="%1."/>
      <w:lvlJc w:val="left"/>
      <w:pPr>
        <w:ind w:left="720" w:hanging="360"/>
      </w:pPr>
      <w:rPr>
        <w:rFonts w:hint="default"/>
      </w:rPr>
    </w:lvl>
    <w:lvl w:ilvl="1" w:tplc="5F3AC45C" w:tentative="1">
      <w:start w:val="1"/>
      <w:numFmt w:val="lowerLetter"/>
      <w:lvlText w:val="%2."/>
      <w:lvlJc w:val="left"/>
      <w:pPr>
        <w:ind w:left="1440" w:hanging="360"/>
      </w:pPr>
    </w:lvl>
    <w:lvl w:ilvl="2" w:tplc="B9A20E7A" w:tentative="1">
      <w:start w:val="1"/>
      <w:numFmt w:val="lowerRoman"/>
      <w:lvlText w:val="%3."/>
      <w:lvlJc w:val="right"/>
      <w:pPr>
        <w:ind w:left="2160" w:hanging="180"/>
      </w:pPr>
    </w:lvl>
    <w:lvl w:ilvl="3" w:tplc="A55C6512" w:tentative="1">
      <w:start w:val="1"/>
      <w:numFmt w:val="decimal"/>
      <w:lvlText w:val="%4."/>
      <w:lvlJc w:val="left"/>
      <w:pPr>
        <w:ind w:left="2880" w:hanging="360"/>
      </w:pPr>
    </w:lvl>
    <w:lvl w:ilvl="4" w:tplc="DF4E67D4" w:tentative="1">
      <w:start w:val="1"/>
      <w:numFmt w:val="lowerLetter"/>
      <w:lvlText w:val="%5."/>
      <w:lvlJc w:val="left"/>
      <w:pPr>
        <w:ind w:left="3600" w:hanging="360"/>
      </w:pPr>
    </w:lvl>
    <w:lvl w:ilvl="5" w:tplc="9B628262" w:tentative="1">
      <w:start w:val="1"/>
      <w:numFmt w:val="lowerRoman"/>
      <w:lvlText w:val="%6."/>
      <w:lvlJc w:val="right"/>
      <w:pPr>
        <w:ind w:left="4320" w:hanging="180"/>
      </w:pPr>
    </w:lvl>
    <w:lvl w:ilvl="6" w:tplc="81D8A7EE" w:tentative="1">
      <w:start w:val="1"/>
      <w:numFmt w:val="decimal"/>
      <w:lvlText w:val="%7."/>
      <w:lvlJc w:val="left"/>
      <w:pPr>
        <w:ind w:left="5040" w:hanging="360"/>
      </w:pPr>
    </w:lvl>
    <w:lvl w:ilvl="7" w:tplc="F9C8062E" w:tentative="1">
      <w:start w:val="1"/>
      <w:numFmt w:val="lowerLetter"/>
      <w:lvlText w:val="%8."/>
      <w:lvlJc w:val="left"/>
      <w:pPr>
        <w:ind w:left="5760" w:hanging="360"/>
      </w:pPr>
    </w:lvl>
    <w:lvl w:ilvl="8" w:tplc="86B45110" w:tentative="1">
      <w:start w:val="1"/>
      <w:numFmt w:val="lowerRoman"/>
      <w:lvlText w:val="%9."/>
      <w:lvlJc w:val="right"/>
      <w:pPr>
        <w:ind w:left="6480" w:hanging="180"/>
      </w:pPr>
    </w:lvl>
  </w:abstractNum>
  <w:abstractNum w:abstractNumId="14" w15:restartNumberingAfterBreak="0">
    <w:nsid w:val="60C77002"/>
    <w:multiLevelType w:val="multilevel"/>
    <w:tmpl w:val="837E17C2"/>
    <w:lvl w:ilvl="0">
      <w:start w:val="1"/>
      <w:numFmt w:val="lowerLetter"/>
      <w:lvlText w:val="(%1)"/>
      <w:lvlJc w:val="righ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476596B"/>
    <w:multiLevelType w:val="multilevel"/>
    <w:tmpl w:val="39084FEE"/>
    <w:lvl w:ilvl="0">
      <w:start w:val="1"/>
      <w:numFmt w:val="lowerLetter"/>
      <w:lvlText w:val="(%1)"/>
      <w:lvlJc w:val="left"/>
      <w:pPr>
        <w:ind w:left="1080" w:hanging="72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8BC32D9"/>
    <w:multiLevelType w:val="hybridMultilevel"/>
    <w:tmpl w:val="D30E5D44"/>
    <w:lvl w:ilvl="0" w:tplc="35F2EEEA">
      <w:start w:val="1"/>
      <w:numFmt w:val="bullet"/>
      <w:lvlText w:val=""/>
      <w:lvlJc w:val="left"/>
      <w:pPr>
        <w:ind w:left="720" w:hanging="360"/>
      </w:pPr>
      <w:rPr>
        <w:rFonts w:ascii="Symbol" w:hAnsi="Symbol" w:hint="default"/>
      </w:rPr>
    </w:lvl>
    <w:lvl w:ilvl="1" w:tplc="3A120EF6" w:tentative="1">
      <w:start w:val="1"/>
      <w:numFmt w:val="bullet"/>
      <w:lvlText w:val="o"/>
      <w:lvlJc w:val="left"/>
      <w:pPr>
        <w:ind w:left="1440" w:hanging="360"/>
      </w:pPr>
      <w:rPr>
        <w:rFonts w:ascii="Courier New" w:hAnsi="Courier New" w:cs="Courier New" w:hint="default"/>
      </w:rPr>
    </w:lvl>
    <w:lvl w:ilvl="2" w:tplc="61E639A4" w:tentative="1">
      <w:start w:val="1"/>
      <w:numFmt w:val="bullet"/>
      <w:lvlText w:val=""/>
      <w:lvlJc w:val="left"/>
      <w:pPr>
        <w:ind w:left="2160" w:hanging="360"/>
      </w:pPr>
      <w:rPr>
        <w:rFonts w:ascii="Wingdings" w:hAnsi="Wingdings" w:hint="default"/>
      </w:rPr>
    </w:lvl>
    <w:lvl w:ilvl="3" w:tplc="AC76D598" w:tentative="1">
      <w:start w:val="1"/>
      <w:numFmt w:val="bullet"/>
      <w:lvlText w:val=""/>
      <w:lvlJc w:val="left"/>
      <w:pPr>
        <w:ind w:left="2880" w:hanging="360"/>
      </w:pPr>
      <w:rPr>
        <w:rFonts w:ascii="Symbol" w:hAnsi="Symbol" w:hint="default"/>
      </w:rPr>
    </w:lvl>
    <w:lvl w:ilvl="4" w:tplc="AD763E6C" w:tentative="1">
      <w:start w:val="1"/>
      <w:numFmt w:val="bullet"/>
      <w:lvlText w:val="o"/>
      <w:lvlJc w:val="left"/>
      <w:pPr>
        <w:ind w:left="3600" w:hanging="360"/>
      </w:pPr>
      <w:rPr>
        <w:rFonts w:ascii="Courier New" w:hAnsi="Courier New" w:cs="Courier New" w:hint="default"/>
      </w:rPr>
    </w:lvl>
    <w:lvl w:ilvl="5" w:tplc="12F0FCDC" w:tentative="1">
      <w:start w:val="1"/>
      <w:numFmt w:val="bullet"/>
      <w:lvlText w:val=""/>
      <w:lvlJc w:val="left"/>
      <w:pPr>
        <w:ind w:left="4320" w:hanging="360"/>
      </w:pPr>
      <w:rPr>
        <w:rFonts w:ascii="Wingdings" w:hAnsi="Wingdings" w:hint="default"/>
      </w:rPr>
    </w:lvl>
    <w:lvl w:ilvl="6" w:tplc="34F62630" w:tentative="1">
      <w:start w:val="1"/>
      <w:numFmt w:val="bullet"/>
      <w:lvlText w:val=""/>
      <w:lvlJc w:val="left"/>
      <w:pPr>
        <w:ind w:left="5040" w:hanging="360"/>
      </w:pPr>
      <w:rPr>
        <w:rFonts w:ascii="Symbol" w:hAnsi="Symbol" w:hint="default"/>
      </w:rPr>
    </w:lvl>
    <w:lvl w:ilvl="7" w:tplc="694A9816" w:tentative="1">
      <w:start w:val="1"/>
      <w:numFmt w:val="bullet"/>
      <w:lvlText w:val="o"/>
      <w:lvlJc w:val="left"/>
      <w:pPr>
        <w:ind w:left="5760" w:hanging="360"/>
      </w:pPr>
      <w:rPr>
        <w:rFonts w:ascii="Courier New" w:hAnsi="Courier New" w:cs="Courier New" w:hint="default"/>
      </w:rPr>
    </w:lvl>
    <w:lvl w:ilvl="8" w:tplc="FE302C42" w:tentative="1">
      <w:start w:val="1"/>
      <w:numFmt w:val="bullet"/>
      <w:lvlText w:val=""/>
      <w:lvlJc w:val="left"/>
      <w:pPr>
        <w:ind w:left="6480" w:hanging="360"/>
      </w:pPr>
      <w:rPr>
        <w:rFonts w:ascii="Wingdings" w:hAnsi="Wingdings" w:hint="default"/>
      </w:rPr>
    </w:lvl>
  </w:abstractNum>
  <w:abstractNum w:abstractNumId="17" w15:restartNumberingAfterBreak="0">
    <w:nsid w:val="6DEB6750"/>
    <w:multiLevelType w:val="hybridMultilevel"/>
    <w:tmpl w:val="AD62F5EC"/>
    <w:lvl w:ilvl="0" w:tplc="D088A990">
      <w:start w:val="1"/>
      <w:numFmt w:val="bullet"/>
      <w:lvlText w:val=""/>
      <w:lvlJc w:val="left"/>
      <w:pPr>
        <w:ind w:left="720" w:hanging="360"/>
      </w:pPr>
      <w:rPr>
        <w:rFonts w:ascii="Symbol" w:hAnsi="Symbol" w:hint="default"/>
      </w:rPr>
    </w:lvl>
    <w:lvl w:ilvl="1" w:tplc="99CCCC7E">
      <w:start w:val="1"/>
      <w:numFmt w:val="bullet"/>
      <w:lvlText w:val="o"/>
      <w:lvlJc w:val="left"/>
      <w:pPr>
        <w:ind w:left="1440" w:hanging="360"/>
      </w:pPr>
      <w:rPr>
        <w:rFonts w:ascii="Courier New" w:hAnsi="Courier New" w:hint="default"/>
      </w:rPr>
    </w:lvl>
    <w:lvl w:ilvl="2" w:tplc="92542614">
      <w:start w:val="1"/>
      <w:numFmt w:val="bullet"/>
      <w:lvlText w:val=""/>
      <w:lvlJc w:val="left"/>
      <w:pPr>
        <w:ind w:left="2160" w:hanging="360"/>
      </w:pPr>
      <w:rPr>
        <w:rFonts w:ascii="Wingdings" w:hAnsi="Wingdings" w:hint="default"/>
      </w:rPr>
    </w:lvl>
    <w:lvl w:ilvl="3" w:tplc="19C4C7E2">
      <w:start w:val="1"/>
      <w:numFmt w:val="bullet"/>
      <w:lvlText w:val=""/>
      <w:lvlJc w:val="left"/>
      <w:pPr>
        <w:ind w:left="2880" w:hanging="360"/>
      </w:pPr>
      <w:rPr>
        <w:rFonts w:ascii="Symbol" w:hAnsi="Symbol" w:hint="default"/>
      </w:rPr>
    </w:lvl>
    <w:lvl w:ilvl="4" w:tplc="AD5C40F6">
      <w:start w:val="1"/>
      <w:numFmt w:val="bullet"/>
      <w:lvlText w:val="o"/>
      <w:lvlJc w:val="left"/>
      <w:pPr>
        <w:ind w:left="3600" w:hanging="360"/>
      </w:pPr>
      <w:rPr>
        <w:rFonts w:ascii="Courier New" w:hAnsi="Courier New" w:hint="default"/>
      </w:rPr>
    </w:lvl>
    <w:lvl w:ilvl="5" w:tplc="85D0128E">
      <w:start w:val="1"/>
      <w:numFmt w:val="bullet"/>
      <w:lvlText w:val=""/>
      <w:lvlJc w:val="left"/>
      <w:pPr>
        <w:ind w:left="4320" w:hanging="360"/>
      </w:pPr>
      <w:rPr>
        <w:rFonts w:ascii="Wingdings" w:hAnsi="Wingdings" w:hint="default"/>
      </w:rPr>
    </w:lvl>
    <w:lvl w:ilvl="6" w:tplc="1294F78E">
      <w:start w:val="1"/>
      <w:numFmt w:val="bullet"/>
      <w:lvlText w:val=""/>
      <w:lvlJc w:val="left"/>
      <w:pPr>
        <w:ind w:left="5040" w:hanging="360"/>
      </w:pPr>
      <w:rPr>
        <w:rFonts w:ascii="Symbol" w:hAnsi="Symbol" w:hint="default"/>
      </w:rPr>
    </w:lvl>
    <w:lvl w:ilvl="7" w:tplc="8DA44350">
      <w:start w:val="1"/>
      <w:numFmt w:val="bullet"/>
      <w:lvlText w:val="o"/>
      <w:lvlJc w:val="left"/>
      <w:pPr>
        <w:ind w:left="5760" w:hanging="360"/>
      </w:pPr>
      <w:rPr>
        <w:rFonts w:ascii="Courier New" w:hAnsi="Courier New" w:hint="default"/>
      </w:rPr>
    </w:lvl>
    <w:lvl w:ilvl="8" w:tplc="E52684D4">
      <w:start w:val="1"/>
      <w:numFmt w:val="bullet"/>
      <w:lvlText w:val=""/>
      <w:lvlJc w:val="left"/>
      <w:pPr>
        <w:ind w:left="6480" w:hanging="360"/>
      </w:pPr>
      <w:rPr>
        <w:rFonts w:ascii="Wingdings" w:hAnsi="Wingdings" w:hint="default"/>
      </w:rPr>
    </w:lvl>
  </w:abstractNum>
  <w:abstractNum w:abstractNumId="18" w15:restartNumberingAfterBreak="0">
    <w:nsid w:val="6F7F24F4"/>
    <w:multiLevelType w:val="hybridMultilevel"/>
    <w:tmpl w:val="DED2C58A"/>
    <w:lvl w:ilvl="0" w:tplc="5F8E6970">
      <w:start w:val="1"/>
      <w:numFmt w:val="bullet"/>
      <w:lvlText w:val=""/>
      <w:lvlJc w:val="left"/>
      <w:pPr>
        <w:ind w:left="360" w:hanging="360"/>
      </w:pPr>
      <w:rPr>
        <w:rFonts w:ascii="Symbol" w:hAnsi="Symbol" w:hint="default"/>
      </w:rPr>
    </w:lvl>
    <w:lvl w:ilvl="1" w:tplc="717C3F50" w:tentative="1">
      <w:start w:val="1"/>
      <w:numFmt w:val="bullet"/>
      <w:lvlText w:val="o"/>
      <w:lvlJc w:val="left"/>
      <w:pPr>
        <w:ind w:left="1080" w:hanging="360"/>
      </w:pPr>
      <w:rPr>
        <w:rFonts w:ascii="Courier New" w:hAnsi="Courier New" w:cs="Courier New" w:hint="default"/>
      </w:rPr>
    </w:lvl>
    <w:lvl w:ilvl="2" w:tplc="6450AA94" w:tentative="1">
      <w:start w:val="1"/>
      <w:numFmt w:val="bullet"/>
      <w:lvlText w:val=""/>
      <w:lvlJc w:val="left"/>
      <w:pPr>
        <w:ind w:left="1800" w:hanging="360"/>
      </w:pPr>
      <w:rPr>
        <w:rFonts w:ascii="Wingdings" w:hAnsi="Wingdings" w:hint="default"/>
      </w:rPr>
    </w:lvl>
    <w:lvl w:ilvl="3" w:tplc="80C69C08" w:tentative="1">
      <w:start w:val="1"/>
      <w:numFmt w:val="bullet"/>
      <w:lvlText w:val=""/>
      <w:lvlJc w:val="left"/>
      <w:pPr>
        <w:ind w:left="2520" w:hanging="360"/>
      </w:pPr>
      <w:rPr>
        <w:rFonts w:ascii="Symbol" w:hAnsi="Symbol" w:hint="default"/>
      </w:rPr>
    </w:lvl>
    <w:lvl w:ilvl="4" w:tplc="58402054" w:tentative="1">
      <w:start w:val="1"/>
      <w:numFmt w:val="bullet"/>
      <w:lvlText w:val="o"/>
      <w:lvlJc w:val="left"/>
      <w:pPr>
        <w:ind w:left="3240" w:hanging="360"/>
      </w:pPr>
      <w:rPr>
        <w:rFonts w:ascii="Courier New" w:hAnsi="Courier New" w:cs="Courier New" w:hint="default"/>
      </w:rPr>
    </w:lvl>
    <w:lvl w:ilvl="5" w:tplc="B38A58B2" w:tentative="1">
      <w:start w:val="1"/>
      <w:numFmt w:val="bullet"/>
      <w:lvlText w:val=""/>
      <w:lvlJc w:val="left"/>
      <w:pPr>
        <w:ind w:left="3960" w:hanging="360"/>
      </w:pPr>
      <w:rPr>
        <w:rFonts w:ascii="Wingdings" w:hAnsi="Wingdings" w:hint="default"/>
      </w:rPr>
    </w:lvl>
    <w:lvl w:ilvl="6" w:tplc="3FA4E9E8" w:tentative="1">
      <w:start w:val="1"/>
      <w:numFmt w:val="bullet"/>
      <w:lvlText w:val=""/>
      <w:lvlJc w:val="left"/>
      <w:pPr>
        <w:ind w:left="4680" w:hanging="360"/>
      </w:pPr>
      <w:rPr>
        <w:rFonts w:ascii="Symbol" w:hAnsi="Symbol" w:hint="default"/>
      </w:rPr>
    </w:lvl>
    <w:lvl w:ilvl="7" w:tplc="2092C6F8" w:tentative="1">
      <w:start w:val="1"/>
      <w:numFmt w:val="bullet"/>
      <w:lvlText w:val="o"/>
      <w:lvlJc w:val="left"/>
      <w:pPr>
        <w:ind w:left="5400" w:hanging="360"/>
      </w:pPr>
      <w:rPr>
        <w:rFonts w:ascii="Courier New" w:hAnsi="Courier New" w:cs="Courier New" w:hint="default"/>
      </w:rPr>
    </w:lvl>
    <w:lvl w:ilvl="8" w:tplc="BD5028A0" w:tentative="1">
      <w:start w:val="1"/>
      <w:numFmt w:val="bullet"/>
      <w:lvlText w:val=""/>
      <w:lvlJc w:val="left"/>
      <w:pPr>
        <w:ind w:left="6120" w:hanging="360"/>
      </w:pPr>
      <w:rPr>
        <w:rFonts w:ascii="Wingdings" w:hAnsi="Wingdings" w:hint="default"/>
      </w:rPr>
    </w:lvl>
  </w:abstractNum>
  <w:abstractNum w:abstractNumId="19" w15:restartNumberingAfterBreak="0">
    <w:nsid w:val="6FF315F2"/>
    <w:multiLevelType w:val="multilevel"/>
    <w:tmpl w:val="1666B7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21" w15:restartNumberingAfterBreak="0">
    <w:nsid w:val="7C3F4B5E"/>
    <w:multiLevelType w:val="hybridMultilevel"/>
    <w:tmpl w:val="66B46A8C"/>
    <w:lvl w:ilvl="0" w:tplc="8716C67C">
      <w:start w:val="1"/>
      <w:numFmt w:val="decimal"/>
      <w:lvlText w:val="%1."/>
      <w:lvlJc w:val="left"/>
      <w:pPr>
        <w:ind w:left="360" w:hanging="360"/>
      </w:pPr>
      <w:rPr>
        <w:rFonts w:ascii="Arial" w:eastAsiaTheme="minorHAnsi" w:hAnsi="Arial" w:cstheme="minorBidi"/>
      </w:rPr>
    </w:lvl>
    <w:lvl w:ilvl="1" w:tplc="2AE04DFA">
      <w:start w:val="1"/>
      <w:numFmt w:val="decimal"/>
      <w:lvlText w:val="%2."/>
      <w:lvlJc w:val="left"/>
      <w:pPr>
        <w:ind w:left="360" w:hanging="360"/>
      </w:pPr>
    </w:lvl>
    <w:lvl w:ilvl="2" w:tplc="C34E1792">
      <w:start w:val="1"/>
      <w:numFmt w:val="decimal"/>
      <w:lvlText w:val="%3."/>
      <w:lvlJc w:val="left"/>
      <w:pPr>
        <w:ind w:left="360" w:hanging="360"/>
      </w:pPr>
    </w:lvl>
    <w:lvl w:ilvl="3" w:tplc="97DEC574">
      <w:start w:val="1"/>
      <w:numFmt w:val="decimal"/>
      <w:lvlText w:val="%4."/>
      <w:lvlJc w:val="left"/>
      <w:pPr>
        <w:ind w:left="360" w:hanging="360"/>
      </w:pPr>
    </w:lvl>
    <w:lvl w:ilvl="4" w:tplc="94260630">
      <w:start w:val="1"/>
      <w:numFmt w:val="decimal"/>
      <w:lvlText w:val="%5."/>
      <w:lvlJc w:val="left"/>
      <w:pPr>
        <w:ind w:left="360" w:hanging="360"/>
      </w:pPr>
    </w:lvl>
    <w:lvl w:ilvl="5" w:tplc="DD6ACC8C">
      <w:start w:val="1"/>
      <w:numFmt w:val="decimal"/>
      <w:lvlText w:val="%6."/>
      <w:lvlJc w:val="left"/>
      <w:pPr>
        <w:ind w:left="360" w:hanging="360"/>
      </w:pPr>
    </w:lvl>
    <w:lvl w:ilvl="6" w:tplc="CD7A4EB4">
      <w:start w:val="1"/>
      <w:numFmt w:val="decimal"/>
      <w:lvlText w:val="%7."/>
      <w:lvlJc w:val="left"/>
      <w:pPr>
        <w:ind w:left="360" w:hanging="360"/>
      </w:pPr>
    </w:lvl>
    <w:lvl w:ilvl="7" w:tplc="D43A6984">
      <w:start w:val="1"/>
      <w:numFmt w:val="decimal"/>
      <w:lvlText w:val="%8."/>
      <w:lvlJc w:val="left"/>
      <w:pPr>
        <w:ind w:left="360" w:hanging="360"/>
      </w:pPr>
    </w:lvl>
    <w:lvl w:ilvl="8" w:tplc="6B283F54">
      <w:start w:val="1"/>
      <w:numFmt w:val="decimal"/>
      <w:lvlText w:val="%9."/>
      <w:lvlJc w:val="left"/>
      <w:pPr>
        <w:ind w:left="360" w:hanging="360"/>
      </w:pPr>
    </w:lvl>
  </w:abstractNum>
  <w:num w:numId="1" w16cid:durableId="157887242">
    <w:abstractNumId w:val="7"/>
  </w:num>
  <w:num w:numId="2" w16cid:durableId="718629484">
    <w:abstractNumId w:val="20"/>
  </w:num>
  <w:num w:numId="3" w16cid:durableId="80566339">
    <w:abstractNumId w:val="13"/>
  </w:num>
  <w:num w:numId="4" w16cid:durableId="231816039">
    <w:abstractNumId w:val="11"/>
  </w:num>
  <w:num w:numId="5" w16cid:durableId="629364579">
    <w:abstractNumId w:val="19"/>
  </w:num>
  <w:num w:numId="6" w16cid:durableId="1666738852">
    <w:abstractNumId w:val="10"/>
  </w:num>
  <w:num w:numId="7" w16cid:durableId="666715938">
    <w:abstractNumId w:val="12"/>
  </w:num>
  <w:num w:numId="8" w16cid:durableId="1229609918">
    <w:abstractNumId w:val="15"/>
  </w:num>
  <w:num w:numId="9" w16cid:durableId="1568758203">
    <w:abstractNumId w:val="3"/>
  </w:num>
  <w:num w:numId="10" w16cid:durableId="2013993818">
    <w:abstractNumId w:val="1"/>
  </w:num>
  <w:num w:numId="11" w16cid:durableId="1264265127">
    <w:abstractNumId w:val="0"/>
  </w:num>
  <w:num w:numId="12" w16cid:durableId="493641637">
    <w:abstractNumId w:val="14"/>
  </w:num>
  <w:num w:numId="13" w16cid:durableId="1478841533">
    <w:abstractNumId w:val="17"/>
  </w:num>
  <w:num w:numId="14" w16cid:durableId="797190641">
    <w:abstractNumId w:val="8"/>
  </w:num>
  <w:num w:numId="15" w16cid:durableId="394666853">
    <w:abstractNumId w:val="5"/>
  </w:num>
  <w:num w:numId="16" w16cid:durableId="1648971755">
    <w:abstractNumId w:val="4"/>
  </w:num>
  <w:num w:numId="17" w16cid:durableId="929042335">
    <w:abstractNumId w:val="6"/>
  </w:num>
  <w:num w:numId="18" w16cid:durableId="1380279331">
    <w:abstractNumId w:val="16"/>
  </w:num>
  <w:num w:numId="19" w16cid:durableId="1037239565">
    <w:abstractNumId w:val="18"/>
  </w:num>
  <w:num w:numId="20" w16cid:durableId="150753528">
    <w:abstractNumId w:val="21"/>
  </w:num>
  <w:num w:numId="21" w16cid:durableId="327758620">
    <w:abstractNumId w:val="2"/>
  </w:num>
  <w:num w:numId="22" w16cid:durableId="6965478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5035"/>
    <w:rsid w:val="000004F6"/>
    <w:rsid w:val="000054B9"/>
    <w:rsid w:val="00010174"/>
    <w:rsid w:val="000173F0"/>
    <w:rsid w:val="00020133"/>
    <w:rsid w:val="00020F72"/>
    <w:rsid w:val="00024AB0"/>
    <w:rsid w:val="00025648"/>
    <w:rsid w:val="00025818"/>
    <w:rsid w:val="0002617C"/>
    <w:rsid w:val="000267EA"/>
    <w:rsid w:val="00033191"/>
    <w:rsid w:val="00036FF9"/>
    <w:rsid w:val="00040C32"/>
    <w:rsid w:val="00046EB7"/>
    <w:rsid w:val="00054063"/>
    <w:rsid w:val="00064576"/>
    <w:rsid w:val="00065FC3"/>
    <w:rsid w:val="000674B7"/>
    <w:rsid w:val="0007002B"/>
    <w:rsid w:val="00071A0B"/>
    <w:rsid w:val="000725A5"/>
    <w:rsid w:val="00084A9E"/>
    <w:rsid w:val="00086E90"/>
    <w:rsid w:val="00087603"/>
    <w:rsid w:val="00087DB1"/>
    <w:rsid w:val="00091100"/>
    <w:rsid w:val="000A111A"/>
    <w:rsid w:val="000A4BA9"/>
    <w:rsid w:val="000A52F4"/>
    <w:rsid w:val="000A78D6"/>
    <w:rsid w:val="000B11EE"/>
    <w:rsid w:val="000B478C"/>
    <w:rsid w:val="000B7A30"/>
    <w:rsid w:val="000C4FBB"/>
    <w:rsid w:val="000C62F1"/>
    <w:rsid w:val="000D0D7E"/>
    <w:rsid w:val="000D1BAA"/>
    <w:rsid w:val="000D20CC"/>
    <w:rsid w:val="000D63FE"/>
    <w:rsid w:val="000E0F87"/>
    <w:rsid w:val="000E239A"/>
    <w:rsid w:val="000E28A1"/>
    <w:rsid w:val="000E45C1"/>
    <w:rsid w:val="000F2B22"/>
    <w:rsid w:val="000F2F0F"/>
    <w:rsid w:val="000F492D"/>
    <w:rsid w:val="000F4BA5"/>
    <w:rsid w:val="00100697"/>
    <w:rsid w:val="00102F13"/>
    <w:rsid w:val="0010347E"/>
    <w:rsid w:val="00105A85"/>
    <w:rsid w:val="00111DE1"/>
    <w:rsid w:val="00120074"/>
    <w:rsid w:val="00120A68"/>
    <w:rsid w:val="001224E4"/>
    <w:rsid w:val="00123C17"/>
    <w:rsid w:val="00123F66"/>
    <w:rsid w:val="00124244"/>
    <w:rsid w:val="001243EC"/>
    <w:rsid w:val="001305F0"/>
    <w:rsid w:val="0013414A"/>
    <w:rsid w:val="00144243"/>
    <w:rsid w:val="00154BCE"/>
    <w:rsid w:val="0015505D"/>
    <w:rsid w:val="0015578E"/>
    <w:rsid w:val="0015734B"/>
    <w:rsid w:val="00160D53"/>
    <w:rsid w:val="00161D8C"/>
    <w:rsid w:val="0016559B"/>
    <w:rsid w:val="00170454"/>
    <w:rsid w:val="001713E1"/>
    <w:rsid w:val="001747D6"/>
    <w:rsid w:val="0017510D"/>
    <w:rsid w:val="00175614"/>
    <w:rsid w:val="001803FC"/>
    <w:rsid w:val="0018127D"/>
    <w:rsid w:val="0018415B"/>
    <w:rsid w:val="001A124F"/>
    <w:rsid w:val="001A4F16"/>
    <w:rsid w:val="001A5A18"/>
    <w:rsid w:val="001B31C7"/>
    <w:rsid w:val="001B55AD"/>
    <w:rsid w:val="001B6A2D"/>
    <w:rsid w:val="001C5C70"/>
    <w:rsid w:val="001C5DA7"/>
    <w:rsid w:val="001C69B6"/>
    <w:rsid w:val="001C71EA"/>
    <w:rsid w:val="001D181D"/>
    <w:rsid w:val="001D1BAD"/>
    <w:rsid w:val="001D59BE"/>
    <w:rsid w:val="001D5EDE"/>
    <w:rsid w:val="001E234B"/>
    <w:rsid w:val="001E6AB2"/>
    <w:rsid w:val="001E71EB"/>
    <w:rsid w:val="001F0F5A"/>
    <w:rsid w:val="001F1DEF"/>
    <w:rsid w:val="001F247C"/>
    <w:rsid w:val="001F7275"/>
    <w:rsid w:val="001F75AF"/>
    <w:rsid w:val="001F7EA6"/>
    <w:rsid w:val="002012BB"/>
    <w:rsid w:val="00203503"/>
    <w:rsid w:val="002036C5"/>
    <w:rsid w:val="002073BF"/>
    <w:rsid w:val="00215FEC"/>
    <w:rsid w:val="0021658A"/>
    <w:rsid w:val="002209E9"/>
    <w:rsid w:val="00226934"/>
    <w:rsid w:val="00230580"/>
    <w:rsid w:val="0023424F"/>
    <w:rsid w:val="00235B86"/>
    <w:rsid w:val="00242BB8"/>
    <w:rsid w:val="00242DEA"/>
    <w:rsid w:val="00252829"/>
    <w:rsid w:val="00254EF7"/>
    <w:rsid w:val="00261858"/>
    <w:rsid w:val="00264EDC"/>
    <w:rsid w:val="00265191"/>
    <w:rsid w:val="0026777E"/>
    <w:rsid w:val="0027014B"/>
    <w:rsid w:val="0027072E"/>
    <w:rsid w:val="00275162"/>
    <w:rsid w:val="00280B57"/>
    <w:rsid w:val="00283536"/>
    <w:rsid w:val="002856AC"/>
    <w:rsid w:val="00291EED"/>
    <w:rsid w:val="00295D81"/>
    <w:rsid w:val="002A188C"/>
    <w:rsid w:val="002A1A0A"/>
    <w:rsid w:val="002A238A"/>
    <w:rsid w:val="002A24AF"/>
    <w:rsid w:val="002A481D"/>
    <w:rsid w:val="002A5075"/>
    <w:rsid w:val="002A5D9E"/>
    <w:rsid w:val="002A601C"/>
    <w:rsid w:val="002B1342"/>
    <w:rsid w:val="002B22C8"/>
    <w:rsid w:val="002B4677"/>
    <w:rsid w:val="002B4ED3"/>
    <w:rsid w:val="002B6E32"/>
    <w:rsid w:val="002C1339"/>
    <w:rsid w:val="002C19FA"/>
    <w:rsid w:val="002C26FA"/>
    <w:rsid w:val="002C631B"/>
    <w:rsid w:val="002D7893"/>
    <w:rsid w:val="002D7B5F"/>
    <w:rsid w:val="002E08FA"/>
    <w:rsid w:val="002E3655"/>
    <w:rsid w:val="002F284E"/>
    <w:rsid w:val="002F54AC"/>
    <w:rsid w:val="002F5AF3"/>
    <w:rsid w:val="00300B12"/>
    <w:rsid w:val="00301103"/>
    <w:rsid w:val="003024F4"/>
    <w:rsid w:val="003035C7"/>
    <w:rsid w:val="00305480"/>
    <w:rsid w:val="00306EB3"/>
    <w:rsid w:val="00310047"/>
    <w:rsid w:val="00311BB1"/>
    <w:rsid w:val="00313CFF"/>
    <w:rsid w:val="003220BE"/>
    <w:rsid w:val="00323A7C"/>
    <w:rsid w:val="00326E39"/>
    <w:rsid w:val="00331514"/>
    <w:rsid w:val="00335153"/>
    <w:rsid w:val="003369C4"/>
    <w:rsid w:val="00337365"/>
    <w:rsid w:val="00340625"/>
    <w:rsid w:val="00340E07"/>
    <w:rsid w:val="003416EA"/>
    <w:rsid w:val="00343C02"/>
    <w:rsid w:val="00343DFB"/>
    <w:rsid w:val="00345B79"/>
    <w:rsid w:val="00345B97"/>
    <w:rsid w:val="00345D57"/>
    <w:rsid w:val="00345F53"/>
    <w:rsid w:val="00346580"/>
    <w:rsid w:val="0035017A"/>
    <w:rsid w:val="00351AE7"/>
    <w:rsid w:val="00352B45"/>
    <w:rsid w:val="003578BB"/>
    <w:rsid w:val="00364BDB"/>
    <w:rsid w:val="00367812"/>
    <w:rsid w:val="00367862"/>
    <w:rsid w:val="003730A9"/>
    <w:rsid w:val="00373BF8"/>
    <w:rsid w:val="003753E6"/>
    <w:rsid w:val="0038594D"/>
    <w:rsid w:val="0038624E"/>
    <w:rsid w:val="003864FA"/>
    <w:rsid w:val="00390821"/>
    <w:rsid w:val="0039180F"/>
    <w:rsid w:val="003A19BC"/>
    <w:rsid w:val="003A241B"/>
    <w:rsid w:val="003A2DAE"/>
    <w:rsid w:val="003A6117"/>
    <w:rsid w:val="003A61FA"/>
    <w:rsid w:val="003B3BC1"/>
    <w:rsid w:val="003C3F7D"/>
    <w:rsid w:val="003D0506"/>
    <w:rsid w:val="003D0E6F"/>
    <w:rsid w:val="003D3F51"/>
    <w:rsid w:val="003E1666"/>
    <w:rsid w:val="003E505E"/>
    <w:rsid w:val="003F3BB8"/>
    <w:rsid w:val="003F4ABE"/>
    <w:rsid w:val="003F713C"/>
    <w:rsid w:val="00400420"/>
    <w:rsid w:val="00403A01"/>
    <w:rsid w:val="00405D10"/>
    <w:rsid w:val="00406C00"/>
    <w:rsid w:val="0040766E"/>
    <w:rsid w:val="004147A0"/>
    <w:rsid w:val="00414CD2"/>
    <w:rsid w:val="00416C8C"/>
    <w:rsid w:val="00421F91"/>
    <w:rsid w:val="004239C6"/>
    <w:rsid w:val="00424EE4"/>
    <w:rsid w:val="004311A6"/>
    <w:rsid w:val="00431B73"/>
    <w:rsid w:val="00437482"/>
    <w:rsid w:val="00442256"/>
    <w:rsid w:val="00443023"/>
    <w:rsid w:val="00443A39"/>
    <w:rsid w:val="004513EF"/>
    <w:rsid w:val="00454DD4"/>
    <w:rsid w:val="00456443"/>
    <w:rsid w:val="004601F6"/>
    <w:rsid w:val="00461119"/>
    <w:rsid w:val="00462C9F"/>
    <w:rsid w:val="00467242"/>
    <w:rsid w:val="004745EA"/>
    <w:rsid w:val="004814A5"/>
    <w:rsid w:val="004823B4"/>
    <w:rsid w:val="00485778"/>
    <w:rsid w:val="00486ABB"/>
    <w:rsid w:val="00487100"/>
    <w:rsid w:val="00487402"/>
    <w:rsid w:val="00493B26"/>
    <w:rsid w:val="00494170"/>
    <w:rsid w:val="00497630"/>
    <w:rsid w:val="004A0A09"/>
    <w:rsid w:val="004A4073"/>
    <w:rsid w:val="004A4960"/>
    <w:rsid w:val="004A5C6A"/>
    <w:rsid w:val="004A6E0E"/>
    <w:rsid w:val="004B0364"/>
    <w:rsid w:val="004B3109"/>
    <w:rsid w:val="004C0042"/>
    <w:rsid w:val="004C24F4"/>
    <w:rsid w:val="004C2735"/>
    <w:rsid w:val="004C2A2B"/>
    <w:rsid w:val="004D0D1C"/>
    <w:rsid w:val="004D7135"/>
    <w:rsid w:val="004D7213"/>
    <w:rsid w:val="004E060E"/>
    <w:rsid w:val="004E0D7E"/>
    <w:rsid w:val="004E1171"/>
    <w:rsid w:val="004F0B6F"/>
    <w:rsid w:val="004F1133"/>
    <w:rsid w:val="004F7DF9"/>
    <w:rsid w:val="005043E0"/>
    <w:rsid w:val="00504877"/>
    <w:rsid w:val="0050499D"/>
    <w:rsid w:val="0050578D"/>
    <w:rsid w:val="005066B0"/>
    <w:rsid w:val="00506F62"/>
    <w:rsid w:val="005120BB"/>
    <w:rsid w:val="00513680"/>
    <w:rsid w:val="0051403E"/>
    <w:rsid w:val="00514448"/>
    <w:rsid w:val="00522F0D"/>
    <w:rsid w:val="00525A76"/>
    <w:rsid w:val="00527988"/>
    <w:rsid w:val="00533017"/>
    <w:rsid w:val="005372F1"/>
    <w:rsid w:val="00541DD3"/>
    <w:rsid w:val="00542A2C"/>
    <w:rsid w:val="00544E52"/>
    <w:rsid w:val="00551F29"/>
    <w:rsid w:val="00554A58"/>
    <w:rsid w:val="0056173F"/>
    <w:rsid w:val="00565D6A"/>
    <w:rsid w:val="00566A9E"/>
    <w:rsid w:val="00572836"/>
    <w:rsid w:val="00574A80"/>
    <w:rsid w:val="00576066"/>
    <w:rsid w:val="005860A0"/>
    <w:rsid w:val="00586212"/>
    <w:rsid w:val="00592538"/>
    <w:rsid w:val="00593EEB"/>
    <w:rsid w:val="00594732"/>
    <w:rsid w:val="00596C64"/>
    <w:rsid w:val="00596C67"/>
    <w:rsid w:val="005A06EA"/>
    <w:rsid w:val="005A3BF1"/>
    <w:rsid w:val="005A5AF2"/>
    <w:rsid w:val="005A6318"/>
    <w:rsid w:val="005C10BE"/>
    <w:rsid w:val="005C1AD8"/>
    <w:rsid w:val="005C3698"/>
    <w:rsid w:val="005C657B"/>
    <w:rsid w:val="005C7900"/>
    <w:rsid w:val="005D4AEB"/>
    <w:rsid w:val="005D617A"/>
    <w:rsid w:val="005D6696"/>
    <w:rsid w:val="005D70B5"/>
    <w:rsid w:val="005E2F7C"/>
    <w:rsid w:val="005E40F5"/>
    <w:rsid w:val="005E4546"/>
    <w:rsid w:val="005E52F9"/>
    <w:rsid w:val="005E531D"/>
    <w:rsid w:val="005F05C3"/>
    <w:rsid w:val="005F0938"/>
    <w:rsid w:val="005F0C6C"/>
    <w:rsid w:val="005F3475"/>
    <w:rsid w:val="005F4D68"/>
    <w:rsid w:val="005F5A72"/>
    <w:rsid w:val="006020CE"/>
    <w:rsid w:val="006065BF"/>
    <w:rsid w:val="00606B6E"/>
    <w:rsid w:val="00610E7C"/>
    <w:rsid w:val="0061335D"/>
    <w:rsid w:val="0061668B"/>
    <w:rsid w:val="00616C4F"/>
    <w:rsid w:val="00617891"/>
    <w:rsid w:val="00623CAD"/>
    <w:rsid w:val="006317C4"/>
    <w:rsid w:val="00635C53"/>
    <w:rsid w:val="00641687"/>
    <w:rsid w:val="006452EC"/>
    <w:rsid w:val="00645509"/>
    <w:rsid w:val="00647F7D"/>
    <w:rsid w:val="0065030F"/>
    <w:rsid w:val="00650A87"/>
    <w:rsid w:val="00652127"/>
    <w:rsid w:val="0065251C"/>
    <w:rsid w:val="00654C2D"/>
    <w:rsid w:val="006577CE"/>
    <w:rsid w:val="00657C88"/>
    <w:rsid w:val="00660593"/>
    <w:rsid w:val="00677CB5"/>
    <w:rsid w:val="00680B90"/>
    <w:rsid w:val="00682A54"/>
    <w:rsid w:val="006846E4"/>
    <w:rsid w:val="00684A1D"/>
    <w:rsid w:val="00686D2A"/>
    <w:rsid w:val="0069024D"/>
    <w:rsid w:val="00691897"/>
    <w:rsid w:val="00694BA8"/>
    <w:rsid w:val="00695DEB"/>
    <w:rsid w:val="006A1052"/>
    <w:rsid w:val="006A25BF"/>
    <w:rsid w:val="006A2D6F"/>
    <w:rsid w:val="006A6461"/>
    <w:rsid w:val="006B0D36"/>
    <w:rsid w:val="006B43ED"/>
    <w:rsid w:val="006C07EB"/>
    <w:rsid w:val="006C65E3"/>
    <w:rsid w:val="006C6B50"/>
    <w:rsid w:val="006D3EDE"/>
    <w:rsid w:val="006D4717"/>
    <w:rsid w:val="006D6B7B"/>
    <w:rsid w:val="006D6FCB"/>
    <w:rsid w:val="006E02D3"/>
    <w:rsid w:val="006E0408"/>
    <w:rsid w:val="006E60F2"/>
    <w:rsid w:val="006F0366"/>
    <w:rsid w:val="006F0DB2"/>
    <w:rsid w:val="006F5D2F"/>
    <w:rsid w:val="006F7E2E"/>
    <w:rsid w:val="00703A7B"/>
    <w:rsid w:val="00707DBF"/>
    <w:rsid w:val="00712096"/>
    <w:rsid w:val="00723348"/>
    <w:rsid w:val="00725DA9"/>
    <w:rsid w:val="00731726"/>
    <w:rsid w:val="007326E1"/>
    <w:rsid w:val="00732CCD"/>
    <w:rsid w:val="0073470E"/>
    <w:rsid w:val="007402B6"/>
    <w:rsid w:val="00741098"/>
    <w:rsid w:val="0074552A"/>
    <w:rsid w:val="00745C48"/>
    <w:rsid w:val="00745D31"/>
    <w:rsid w:val="007464AB"/>
    <w:rsid w:val="007510DF"/>
    <w:rsid w:val="00751111"/>
    <w:rsid w:val="00751144"/>
    <w:rsid w:val="00752FDC"/>
    <w:rsid w:val="00753E98"/>
    <w:rsid w:val="007615AB"/>
    <w:rsid w:val="00761F6C"/>
    <w:rsid w:val="00766B69"/>
    <w:rsid w:val="00767865"/>
    <w:rsid w:val="007706CA"/>
    <w:rsid w:val="00771D05"/>
    <w:rsid w:val="0077205F"/>
    <w:rsid w:val="007728B9"/>
    <w:rsid w:val="00776DCB"/>
    <w:rsid w:val="00776FE6"/>
    <w:rsid w:val="00777481"/>
    <w:rsid w:val="007819A6"/>
    <w:rsid w:val="00781F0E"/>
    <w:rsid w:val="00785973"/>
    <w:rsid w:val="007861BA"/>
    <w:rsid w:val="00786213"/>
    <w:rsid w:val="007864DD"/>
    <w:rsid w:val="00790884"/>
    <w:rsid w:val="00792AE4"/>
    <w:rsid w:val="00794344"/>
    <w:rsid w:val="0079455A"/>
    <w:rsid w:val="007A016F"/>
    <w:rsid w:val="007A5E9E"/>
    <w:rsid w:val="007B042B"/>
    <w:rsid w:val="007B253B"/>
    <w:rsid w:val="007B5035"/>
    <w:rsid w:val="007D008B"/>
    <w:rsid w:val="007D223B"/>
    <w:rsid w:val="007D344D"/>
    <w:rsid w:val="007D435B"/>
    <w:rsid w:val="007D54D6"/>
    <w:rsid w:val="007D5857"/>
    <w:rsid w:val="007E02F3"/>
    <w:rsid w:val="007E6B65"/>
    <w:rsid w:val="00800B3B"/>
    <w:rsid w:val="00800F98"/>
    <w:rsid w:val="00805B25"/>
    <w:rsid w:val="00810206"/>
    <w:rsid w:val="00813B31"/>
    <w:rsid w:val="008146FD"/>
    <w:rsid w:val="00816ADE"/>
    <w:rsid w:val="0081774C"/>
    <w:rsid w:val="00832DB0"/>
    <w:rsid w:val="00834196"/>
    <w:rsid w:val="00836F91"/>
    <w:rsid w:val="008378E8"/>
    <w:rsid w:val="008459E6"/>
    <w:rsid w:val="008502C9"/>
    <w:rsid w:val="00854088"/>
    <w:rsid w:val="0085431F"/>
    <w:rsid w:val="008545BF"/>
    <w:rsid w:val="00863E32"/>
    <w:rsid w:val="00870E07"/>
    <w:rsid w:val="0087539C"/>
    <w:rsid w:val="0088057A"/>
    <w:rsid w:val="00880DD6"/>
    <w:rsid w:val="00880FEF"/>
    <w:rsid w:val="00881DE3"/>
    <w:rsid w:val="00887711"/>
    <w:rsid w:val="0089050A"/>
    <w:rsid w:val="00890751"/>
    <w:rsid w:val="00893F77"/>
    <w:rsid w:val="008A4517"/>
    <w:rsid w:val="008A4D54"/>
    <w:rsid w:val="008B2459"/>
    <w:rsid w:val="008B4922"/>
    <w:rsid w:val="008C19F4"/>
    <w:rsid w:val="008C3393"/>
    <w:rsid w:val="008C6107"/>
    <w:rsid w:val="008C6FA9"/>
    <w:rsid w:val="008D27DF"/>
    <w:rsid w:val="008D67E9"/>
    <w:rsid w:val="008E179F"/>
    <w:rsid w:val="008E22B3"/>
    <w:rsid w:val="008E3C69"/>
    <w:rsid w:val="008E4151"/>
    <w:rsid w:val="008E72A6"/>
    <w:rsid w:val="00900379"/>
    <w:rsid w:val="0090187D"/>
    <w:rsid w:val="00905113"/>
    <w:rsid w:val="0090598B"/>
    <w:rsid w:val="0090793A"/>
    <w:rsid w:val="00913E51"/>
    <w:rsid w:val="009143BA"/>
    <w:rsid w:val="00914D43"/>
    <w:rsid w:val="0092565C"/>
    <w:rsid w:val="009275C8"/>
    <w:rsid w:val="0093305E"/>
    <w:rsid w:val="009335BE"/>
    <w:rsid w:val="00944CA6"/>
    <w:rsid w:val="00947E91"/>
    <w:rsid w:val="009521E3"/>
    <w:rsid w:val="00954313"/>
    <w:rsid w:val="009553F2"/>
    <w:rsid w:val="00955813"/>
    <w:rsid w:val="00955A25"/>
    <w:rsid w:val="00963ED0"/>
    <w:rsid w:val="009721DE"/>
    <w:rsid w:val="00972E90"/>
    <w:rsid w:val="009742CF"/>
    <w:rsid w:val="009764DF"/>
    <w:rsid w:val="00983694"/>
    <w:rsid w:val="0098472F"/>
    <w:rsid w:val="00993CFE"/>
    <w:rsid w:val="00997243"/>
    <w:rsid w:val="009A1DD3"/>
    <w:rsid w:val="009A4FA6"/>
    <w:rsid w:val="009A7161"/>
    <w:rsid w:val="009B6B4F"/>
    <w:rsid w:val="009B6C29"/>
    <w:rsid w:val="009B7219"/>
    <w:rsid w:val="009C1126"/>
    <w:rsid w:val="009C135F"/>
    <w:rsid w:val="009C46D6"/>
    <w:rsid w:val="009C51EF"/>
    <w:rsid w:val="009D05D7"/>
    <w:rsid w:val="009D1628"/>
    <w:rsid w:val="009D3485"/>
    <w:rsid w:val="009E1808"/>
    <w:rsid w:val="009E21DE"/>
    <w:rsid w:val="009E5AE2"/>
    <w:rsid w:val="009F0178"/>
    <w:rsid w:val="009F2C80"/>
    <w:rsid w:val="009F35C2"/>
    <w:rsid w:val="009F40CC"/>
    <w:rsid w:val="009F6A33"/>
    <w:rsid w:val="00A00D77"/>
    <w:rsid w:val="00A055C2"/>
    <w:rsid w:val="00A06B08"/>
    <w:rsid w:val="00A153CB"/>
    <w:rsid w:val="00A169F5"/>
    <w:rsid w:val="00A231E0"/>
    <w:rsid w:val="00A24B81"/>
    <w:rsid w:val="00A337C8"/>
    <w:rsid w:val="00A34651"/>
    <w:rsid w:val="00A3709F"/>
    <w:rsid w:val="00A4192D"/>
    <w:rsid w:val="00A41D8F"/>
    <w:rsid w:val="00A43155"/>
    <w:rsid w:val="00A46F61"/>
    <w:rsid w:val="00A521A0"/>
    <w:rsid w:val="00A579EE"/>
    <w:rsid w:val="00A643D6"/>
    <w:rsid w:val="00A64692"/>
    <w:rsid w:val="00A6581B"/>
    <w:rsid w:val="00A715EE"/>
    <w:rsid w:val="00A7315B"/>
    <w:rsid w:val="00A74615"/>
    <w:rsid w:val="00A752F0"/>
    <w:rsid w:val="00A847B4"/>
    <w:rsid w:val="00A84F49"/>
    <w:rsid w:val="00A90F4D"/>
    <w:rsid w:val="00A922E3"/>
    <w:rsid w:val="00A95B08"/>
    <w:rsid w:val="00A975A5"/>
    <w:rsid w:val="00AA21EB"/>
    <w:rsid w:val="00AA6CC5"/>
    <w:rsid w:val="00AB1061"/>
    <w:rsid w:val="00AB241D"/>
    <w:rsid w:val="00AB421A"/>
    <w:rsid w:val="00AC13AC"/>
    <w:rsid w:val="00AC1BE6"/>
    <w:rsid w:val="00AC3478"/>
    <w:rsid w:val="00AC454C"/>
    <w:rsid w:val="00AC50AB"/>
    <w:rsid w:val="00AD163A"/>
    <w:rsid w:val="00AE1F14"/>
    <w:rsid w:val="00AE268C"/>
    <w:rsid w:val="00AE3D31"/>
    <w:rsid w:val="00AE5884"/>
    <w:rsid w:val="00AF1AA6"/>
    <w:rsid w:val="00AF7B27"/>
    <w:rsid w:val="00AF7F33"/>
    <w:rsid w:val="00B023D0"/>
    <w:rsid w:val="00B03388"/>
    <w:rsid w:val="00B10A08"/>
    <w:rsid w:val="00B10ED0"/>
    <w:rsid w:val="00B23E5B"/>
    <w:rsid w:val="00B26FDF"/>
    <w:rsid w:val="00B278DB"/>
    <w:rsid w:val="00B34833"/>
    <w:rsid w:val="00B41200"/>
    <w:rsid w:val="00B413CD"/>
    <w:rsid w:val="00B465C0"/>
    <w:rsid w:val="00B4777B"/>
    <w:rsid w:val="00B47AD0"/>
    <w:rsid w:val="00B526EE"/>
    <w:rsid w:val="00B54E6B"/>
    <w:rsid w:val="00B5525D"/>
    <w:rsid w:val="00B5660E"/>
    <w:rsid w:val="00B56817"/>
    <w:rsid w:val="00B612D3"/>
    <w:rsid w:val="00B63DBB"/>
    <w:rsid w:val="00B7771A"/>
    <w:rsid w:val="00B8084B"/>
    <w:rsid w:val="00B8383E"/>
    <w:rsid w:val="00B846F2"/>
    <w:rsid w:val="00B96F8C"/>
    <w:rsid w:val="00BA0B3E"/>
    <w:rsid w:val="00BA268D"/>
    <w:rsid w:val="00BA272B"/>
    <w:rsid w:val="00BA2D82"/>
    <w:rsid w:val="00BA30FC"/>
    <w:rsid w:val="00BA31D3"/>
    <w:rsid w:val="00BB0978"/>
    <w:rsid w:val="00BB529B"/>
    <w:rsid w:val="00BB5706"/>
    <w:rsid w:val="00BB6D51"/>
    <w:rsid w:val="00BC2547"/>
    <w:rsid w:val="00BC2C1A"/>
    <w:rsid w:val="00BD2AA6"/>
    <w:rsid w:val="00BE0FAA"/>
    <w:rsid w:val="00BE5233"/>
    <w:rsid w:val="00BE7143"/>
    <w:rsid w:val="00BE7FB6"/>
    <w:rsid w:val="00BF097E"/>
    <w:rsid w:val="00BF6506"/>
    <w:rsid w:val="00BF65EE"/>
    <w:rsid w:val="00BF75E5"/>
    <w:rsid w:val="00BF7EA5"/>
    <w:rsid w:val="00C04E15"/>
    <w:rsid w:val="00C12311"/>
    <w:rsid w:val="00C13464"/>
    <w:rsid w:val="00C13DAF"/>
    <w:rsid w:val="00C14C4C"/>
    <w:rsid w:val="00C22592"/>
    <w:rsid w:val="00C2312A"/>
    <w:rsid w:val="00C34644"/>
    <w:rsid w:val="00C34911"/>
    <w:rsid w:val="00C3518C"/>
    <w:rsid w:val="00C36800"/>
    <w:rsid w:val="00C43C89"/>
    <w:rsid w:val="00C44A52"/>
    <w:rsid w:val="00C45054"/>
    <w:rsid w:val="00C4509F"/>
    <w:rsid w:val="00C50A43"/>
    <w:rsid w:val="00C51054"/>
    <w:rsid w:val="00C51C56"/>
    <w:rsid w:val="00C51E00"/>
    <w:rsid w:val="00C525EE"/>
    <w:rsid w:val="00C5283E"/>
    <w:rsid w:val="00C5305B"/>
    <w:rsid w:val="00C6164F"/>
    <w:rsid w:val="00C62BC0"/>
    <w:rsid w:val="00C66C6A"/>
    <w:rsid w:val="00C748C0"/>
    <w:rsid w:val="00C7549C"/>
    <w:rsid w:val="00C80262"/>
    <w:rsid w:val="00C845F3"/>
    <w:rsid w:val="00C87E37"/>
    <w:rsid w:val="00C9615F"/>
    <w:rsid w:val="00CA11D5"/>
    <w:rsid w:val="00CA2AA6"/>
    <w:rsid w:val="00CA7116"/>
    <w:rsid w:val="00CB2105"/>
    <w:rsid w:val="00CB23F0"/>
    <w:rsid w:val="00CB5035"/>
    <w:rsid w:val="00CB71B1"/>
    <w:rsid w:val="00CC2745"/>
    <w:rsid w:val="00CD0651"/>
    <w:rsid w:val="00CD68FE"/>
    <w:rsid w:val="00CE2231"/>
    <w:rsid w:val="00CE395E"/>
    <w:rsid w:val="00CE575A"/>
    <w:rsid w:val="00CE62E4"/>
    <w:rsid w:val="00CF110E"/>
    <w:rsid w:val="00CF3365"/>
    <w:rsid w:val="00CF62AF"/>
    <w:rsid w:val="00CF7117"/>
    <w:rsid w:val="00D01171"/>
    <w:rsid w:val="00D03C8B"/>
    <w:rsid w:val="00D03D57"/>
    <w:rsid w:val="00D064B9"/>
    <w:rsid w:val="00D070D2"/>
    <w:rsid w:val="00D07270"/>
    <w:rsid w:val="00D1019A"/>
    <w:rsid w:val="00D11059"/>
    <w:rsid w:val="00D121DE"/>
    <w:rsid w:val="00D1493D"/>
    <w:rsid w:val="00D14E13"/>
    <w:rsid w:val="00D15589"/>
    <w:rsid w:val="00D21A60"/>
    <w:rsid w:val="00D22A66"/>
    <w:rsid w:val="00D2598E"/>
    <w:rsid w:val="00D25F75"/>
    <w:rsid w:val="00D33AB3"/>
    <w:rsid w:val="00D47CB7"/>
    <w:rsid w:val="00D47D24"/>
    <w:rsid w:val="00D53FC1"/>
    <w:rsid w:val="00D5451B"/>
    <w:rsid w:val="00D60689"/>
    <w:rsid w:val="00D60778"/>
    <w:rsid w:val="00D63336"/>
    <w:rsid w:val="00D655F5"/>
    <w:rsid w:val="00D713B8"/>
    <w:rsid w:val="00D716EB"/>
    <w:rsid w:val="00D84FB9"/>
    <w:rsid w:val="00D913B0"/>
    <w:rsid w:val="00D91F60"/>
    <w:rsid w:val="00D92AD9"/>
    <w:rsid w:val="00D9303F"/>
    <w:rsid w:val="00D97042"/>
    <w:rsid w:val="00D97AF7"/>
    <w:rsid w:val="00D97C02"/>
    <w:rsid w:val="00DA482C"/>
    <w:rsid w:val="00DB080E"/>
    <w:rsid w:val="00DB7A4F"/>
    <w:rsid w:val="00DC061D"/>
    <w:rsid w:val="00DC4123"/>
    <w:rsid w:val="00DC6130"/>
    <w:rsid w:val="00DC6E12"/>
    <w:rsid w:val="00DD4A13"/>
    <w:rsid w:val="00DE002F"/>
    <w:rsid w:val="00DE0225"/>
    <w:rsid w:val="00DE1834"/>
    <w:rsid w:val="00DE2768"/>
    <w:rsid w:val="00DE6DA8"/>
    <w:rsid w:val="00DF3A8B"/>
    <w:rsid w:val="00DF496D"/>
    <w:rsid w:val="00E00A06"/>
    <w:rsid w:val="00E04C42"/>
    <w:rsid w:val="00E05109"/>
    <w:rsid w:val="00E120CC"/>
    <w:rsid w:val="00E12DED"/>
    <w:rsid w:val="00E12F95"/>
    <w:rsid w:val="00E27D4E"/>
    <w:rsid w:val="00E34F7F"/>
    <w:rsid w:val="00E36B90"/>
    <w:rsid w:val="00E37258"/>
    <w:rsid w:val="00E4240C"/>
    <w:rsid w:val="00E434EA"/>
    <w:rsid w:val="00E478AC"/>
    <w:rsid w:val="00E5659E"/>
    <w:rsid w:val="00E601CD"/>
    <w:rsid w:val="00E62DE5"/>
    <w:rsid w:val="00E63147"/>
    <w:rsid w:val="00E64259"/>
    <w:rsid w:val="00E6608A"/>
    <w:rsid w:val="00E671E5"/>
    <w:rsid w:val="00E7011F"/>
    <w:rsid w:val="00E70B39"/>
    <w:rsid w:val="00E72B65"/>
    <w:rsid w:val="00E7374A"/>
    <w:rsid w:val="00E76570"/>
    <w:rsid w:val="00E833A6"/>
    <w:rsid w:val="00E86CE3"/>
    <w:rsid w:val="00E906D4"/>
    <w:rsid w:val="00E910C8"/>
    <w:rsid w:val="00E92192"/>
    <w:rsid w:val="00E954D9"/>
    <w:rsid w:val="00E972C2"/>
    <w:rsid w:val="00EA1243"/>
    <w:rsid w:val="00EB630F"/>
    <w:rsid w:val="00EB700A"/>
    <w:rsid w:val="00EB7847"/>
    <w:rsid w:val="00EC40DD"/>
    <w:rsid w:val="00EC41DA"/>
    <w:rsid w:val="00ED0B33"/>
    <w:rsid w:val="00EE4507"/>
    <w:rsid w:val="00EE518E"/>
    <w:rsid w:val="00EE5A20"/>
    <w:rsid w:val="00EE5DED"/>
    <w:rsid w:val="00EE66D8"/>
    <w:rsid w:val="00EE67D5"/>
    <w:rsid w:val="00EE701D"/>
    <w:rsid w:val="00EE73B2"/>
    <w:rsid w:val="00EE7A73"/>
    <w:rsid w:val="00EF680D"/>
    <w:rsid w:val="00EF6D1E"/>
    <w:rsid w:val="00EF7AAF"/>
    <w:rsid w:val="00F01887"/>
    <w:rsid w:val="00F04B75"/>
    <w:rsid w:val="00F04D03"/>
    <w:rsid w:val="00F10F3F"/>
    <w:rsid w:val="00F17BC7"/>
    <w:rsid w:val="00F261EF"/>
    <w:rsid w:val="00F26C71"/>
    <w:rsid w:val="00F30B25"/>
    <w:rsid w:val="00F3117F"/>
    <w:rsid w:val="00F37D12"/>
    <w:rsid w:val="00F4103B"/>
    <w:rsid w:val="00F41ACD"/>
    <w:rsid w:val="00F464D4"/>
    <w:rsid w:val="00F52602"/>
    <w:rsid w:val="00F52F08"/>
    <w:rsid w:val="00F53D37"/>
    <w:rsid w:val="00F53EE0"/>
    <w:rsid w:val="00F57C90"/>
    <w:rsid w:val="00F74EB0"/>
    <w:rsid w:val="00F92CC7"/>
    <w:rsid w:val="00F95EB4"/>
    <w:rsid w:val="00F96B84"/>
    <w:rsid w:val="00FA23E0"/>
    <w:rsid w:val="00FA6BE1"/>
    <w:rsid w:val="00FB05E9"/>
    <w:rsid w:val="00FB3780"/>
    <w:rsid w:val="00FB6479"/>
    <w:rsid w:val="00FB7674"/>
    <w:rsid w:val="00FC218E"/>
    <w:rsid w:val="00FC3565"/>
    <w:rsid w:val="00FC4962"/>
    <w:rsid w:val="00FD428B"/>
    <w:rsid w:val="00FD6CC1"/>
    <w:rsid w:val="00FE4267"/>
    <w:rsid w:val="00FE59E4"/>
    <w:rsid w:val="00FE5BD4"/>
    <w:rsid w:val="00FF2166"/>
    <w:rsid w:val="04D2E678"/>
    <w:rsid w:val="0D22F7B2"/>
    <w:rsid w:val="0E7FAE1A"/>
    <w:rsid w:val="0F34E787"/>
    <w:rsid w:val="144A695B"/>
    <w:rsid w:val="1C3C1C6A"/>
    <w:rsid w:val="1D7DF8D6"/>
    <w:rsid w:val="1E2AB1E4"/>
    <w:rsid w:val="26CABE97"/>
    <w:rsid w:val="2F1FB2D9"/>
    <w:rsid w:val="31DB9519"/>
    <w:rsid w:val="33F03C23"/>
    <w:rsid w:val="3A721FFB"/>
    <w:rsid w:val="3A817967"/>
    <w:rsid w:val="45670FED"/>
    <w:rsid w:val="45D16E20"/>
    <w:rsid w:val="498AE702"/>
    <w:rsid w:val="4AA84AAA"/>
    <w:rsid w:val="4C5AD45D"/>
    <w:rsid w:val="4D1CBE46"/>
    <w:rsid w:val="525ADBF3"/>
    <w:rsid w:val="54917950"/>
    <w:rsid w:val="585B809B"/>
    <w:rsid w:val="5C99EEFA"/>
    <w:rsid w:val="6133A53F"/>
    <w:rsid w:val="65C97D40"/>
    <w:rsid w:val="66D508B1"/>
    <w:rsid w:val="6BF39E6C"/>
    <w:rsid w:val="7A43F07E"/>
    <w:rsid w:val="7AB89B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AB7D5"/>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203503"/>
    <w:rPr>
      <w:rFonts w:ascii="Arial" w:hAnsi="Arial"/>
    </w:rPr>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qFormat/>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cs="Arial"/>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ascii="Arial" w:eastAsia="Times New Roman" w:hAnsi="Arial" w:cs="Arial"/>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3E1666"/>
    <w:rPr>
      <w:rFonts w:eastAsia="Times New Roman" w:cs="Arial"/>
      <w:color w:val="767171"/>
    </w:rPr>
  </w:style>
  <w:style w:type="character" w:customStyle="1" w:styleId="ClassificationcolumntextChar">
    <w:name w:val="Classification column text Char"/>
    <w:basedOn w:val="DefaultParagraphFont"/>
    <w:link w:val="Classificationcolumntext"/>
    <w:rsid w:val="003E1666"/>
    <w:rPr>
      <w:rFonts w:ascii="Arial" w:eastAsia="Times New Roman" w:hAnsi="Arial" w:cs="Arial"/>
      <w:color w:val="767171"/>
    </w:rPr>
  </w:style>
  <w:style w:type="paragraph" w:customStyle="1" w:styleId="Subjectcolumntext">
    <w:name w:val="Subject column text"/>
    <w:basedOn w:val="Classificationcolumntext"/>
    <w:link w:val="SubjectcolumntextChar"/>
    <w:qFormat/>
    <w:rsid w:val="00BC2547"/>
    <w:rPr>
      <w:b/>
      <w:bCs/>
      <w:color w:val="000000" w:themeColor="text1"/>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rPr>
      <w:rFonts w:ascii="Arial" w:hAnsi="Arial"/>
    </w:r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s="Arial"/>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cs="Arial"/>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rFonts w:cs="Arial"/>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rPr>
      <w:rFonts w:ascii="Arial" w:hAnsi="Arial"/>
    </w:rPr>
    <w:tblPr/>
  </w:style>
  <w:style w:type="paragraph" w:customStyle="1" w:styleId="Tableheadings">
    <w:name w:val="Table headings"/>
    <w:basedOn w:val="Normal"/>
    <w:link w:val="TableheadingsChar"/>
    <w:qFormat/>
    <w:rsid w:val="00FD6CC1"/>
    <w:pPr>
      <w:spacing w:after="0" w:line="276" w:lineRule="auto"/>
      <w:outlineLvl w:val="4"/>
    </w:pPr>
    <w:rPr>
      <w:rFonts w:cs="Arial"/>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6D6B7B"/>
    <w:pPr>
      <w:spacing w:after="0" w:line="240" w:lineRule="auto"/>
    </w:pPr>
    <w:rPr>
      <w:rFonts w:eastAsiaTheme="minorEastAsia" w:cs="Arial"/>
      <w:b/>
      <w:bCs/>
      <w:color w:val="404040" w:themeColor="text1" w:themeTint="BF"/>
      <w:sz w:val="32"/>
      <w:szCs w:val="32"/>
    </w:rPr>
  </w:style>
  <w:style w:type="character" w:customStyle="1" w:styleId="CountryChar">
    <w:name w:val="Country Char"/>
    <w:basedOn w:val="DefaultParagraphFont"/>
    <w:link w:val="Country"/>
    <w:rsid w:val="006D6B7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ascii="Arial" w:eastAsiaTheme="minorEastAsia" w:hAnsi="Arial"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eastAsiaTheme="minorEastAsia" w:hAnsiTheme="minorHAnsi"/>
      <w:i/>
      <w:iCs/>
      <w:color w:val="156082" w:themeColor="accent1"/>
    </w:rPr>
  </w:style>
  <w:style w:type="paragraph" w:styleId="CommentText">
    <w:name w:val="annotation text"/>
    <w:basedOn w:val="Normal"/>
    <w:link w:val="CommentTextChar"/>
    <w:uiPriority w:val="99"/>
    <w:unhideWhenUsed/>
    <w:rsid w:val="00B612D3"/>
    <w:pPr>
      <w:spacing w:after="0" w:line="240" w:lineRule="auto"/>
    </w:pPr>
    <w:rPr>
      <w:rFonts w:ascii="Calibri" w:eastAsiaTheme="minorEastAsia" w:hAnsi="Calibri" w:cs="Calibri"/>
      <w:sz w:val="20"/>
      <w:szCs w:val="20"/>
      <w:lang w:eastAsia="es-ES"/>
    </w:rPr>
  </w:style>
  <w:style w:type="character" w:customStyle="1" w:styleId="CommentTextChar">
    <w:name w:val="Comment Text Char"/>
    <w:basedOn w:val="DefaultParagraphFont"/>
    <w:link w:val="CommentText"/>
    <w:uiPriority w:val="99"/>
    <w:rsid w:val="00B612D3"/>
    <w:rPr>
      <w:rFonts w:ascii="Calibri" w:eastAsiaTheme="minorEastAsia" w:hAnsi="Calibri" w:cs="Calibri"/>
      <w:sz w:val="20"/>
      <w:szCs w:val="20"/>
      <w:lang w:eastAsia="es-ES"/>
    </w:rPr>
  </w:style>
  <w:style w:type="character" w:styleId="CommentReference">
    <w:name w:val="annotation reference"/>
    <w:basedOn w:val="DefaultParagraphFont"/>
    <w:uiPriority w:val="99"/>
    <w:semiHidden/>
    <w:unhideWhenUsed/>
    <w:rsid w:val="00B612D3"/>
    <w:rPr>
      <w:sz w:val="16"/>
      <w:szCs w:val="16"/>
    </w:rPr>
  </w:style>
  <w:style w:type="character" w:customStyle="1" w:styleId="normaltextrun">
    <w:name w:val="normaltextrun"/>
    <w:basedOn w:val="DefaultParagraphFont"/>
    <w:uiPriority w:val="1"/>
    <w:rsid w:val="001A4F16"/>
  </w:style>
  <w:style w:type="character" w:customStyle="1" w:styleId="eop">
    <w:name w:val="eop"/>
    <w:basedOn w:val="DefaultParagraphFont"/>
    <w:rsid w:val="001A4F16"/>
  </w:style>
  <w:style w:type="character" w:styleId="Hyperlink">
    <w:name w:val="Hyperlink"/>
    <w:basedOn w:val="DefaultParagraphFont"/>
    <w:uiPriority w:val="99"/>
    <w:unhideWhenUsed/>
    <w:rsid w:val="007E6B65"/>
    <w:rPr>
      <w:color w:val="467886" w:themeColor="hyperlink"/>
      <w:u w:val="single"/>
    </w:rPr>
  </w:style>
  <w:style w:type="character" w:styleId="Emphasis">
    <w:name w:val="Emphasis"/>
    <w:basedOn w:val="DefaultParagraphFont"/>
    <w:uiPriority w:val="20"/>
    <w:qFormat/>
    <w:rsid w:val="009F0178"/>
    <w:rPr>
      <w:i/>
      <w:iCs/>
    </w:rPr>
  </w:style>
  <w:style w:type="character" w:styleId="FollowedHyperlink">
    <w:name w:val="FollowedHyperlink"/>
    <w:basedOn w:val="DefaultParagraphFont"/>
    <w:uiPriority w:val="99"/>
    <w:semiHidden/>
    <w:unhideWhenUsed/>
    <w:rsid w:val="00506F62"/>
    <w:rPr>
      <w:color w:val="96607D" w:themeColor="followedHyperlink"/>
      <w:u w:val="single"/>
    </w:rPr>
  </w:style>
  <w:style w:type="character" w:customStyle="1" w:styleId="UnresolvedMention1">
    <w:name w:val="Unresolved Mention1"/>
    <w:basedOn w:val="DefaultParagraphFont"/>
    <w:uiPriority w:val="99"/>
    <w:semiHidden/>
    <w:unhideWhenUsed/>
    <w:rsid w:val="00D97C02"/>
    <w:rPr>
      <w:color w:val="605E5C"/>
      <w:shd w:val="clear" w:color="auto" w:fill="E1DFDD"/>
    </w:rPr>
  </w:style>
  <w:style w:type="character" w:customStyle="1" w:styleId="hgkelc">
    <w:name w:val="hgkelc"/>
    <w:basedOn w:val="DefaultParagraphFont"/>
    <w:rsid w:val="00596C64"/>
  </w:style>
  <w:style w:type="paragraph" w:styleId="CommentSubject">
    <w:name w:val="annotation subject"/>
    <w:basedOn w:val="CommentText"/>
    <w:next w:val="CommentText"/>
    <w:link w:val="CommentSubjectChar"/>
    <w:uiPriority w:val="99"/>
    <w:semiHidden/>
    <w:unhideWhenUsed/>
    <w:rsid w:val="00D97AF7"/>
    <w:pPr>
      <w:spacing w:after="160"/>
    </w:pPr>
    <w:rPr>
      <w:rFonts w:ascii="Arial" w:eastAsiaTheme="minorHAnsi" w:hAnsi="Arial" w:cstheme="minorBidi"/>
      <w:b/>
      <w:bCs/>
      <w:lang w:eastAsia="en-US"/>
    </w:rPr>
  </w:style>
  <w:style w:type="character" w:customStyle="1" w:styleId="CommentSubjectChar">
    <w:name w:val="Comment Subject Char"/>
    <w:basedOn w:val="CommentTextChar"/>
    <w:link w:val="CommentSubject"/>
    <w:uiPriority w:val="99"/>
    <w:semiHidden/>
    <w:rsid w:val="00D97AF7"/>
    <w:rPr>
      <w:rFonts w:ascii="Arial" w:eastAsiaTheme="minorEastAsia" w:hAnsi="Arial" w:cs="Calibri"/>
      <w:b/>
      <w:bCs/>
      <w:sz w:val="20"/>
      <w:szCs w:val="20"/>
      <w:lang w:eastAsia="es-ES"/>
    </w:rPr>
  </w:style>
  <w:style w:type="character" w:customStyle="1" w:styleId="whitespace-nowrap">
    <w:name w:val="whitespace-nowrap"/>
    <w:basedOn w:val="DefaultParagraphFont"/>
    <w:rsid w:val="00B23E5B"/>
  </w:style>
  <w:style w:type="paragraph" w:styleId="BalloonText">
    <w:name w:val="Balloon Text"/>
    <w:basedOn w:val="Normal"/>
    <w:link w:val="BalloonTextChar"/>
    <w:uiPriority w:val="99"/>
    <w:semiHidden/>
    <w:unhideWhenUsed/>
    <w:rsid w:val="00993C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3CFE"/>
    <w:rPr>
      <w:rFonts w:ascii="Segoe UI" w:hAnsi="Segoe UI" w:cs="Segoe UI"/>
      <w:sz w:val="18"/>
      <w:szCs w:val="18"/>
    </w:rPr>
  </w:style>
  <w:style w:type="paragraph" w:styleId="TOC1">
    <w:name w:val="toc 1"/>
    <w:basedOn w:val="Normal"/>
    <w:next w:val="Normal"/>
    <w:autoRedefine/>
    <w:uiPriority w:val="39"/>
    <w:unhideWhenUsed/>
    <w:rsid w:val="000C62F1"/>
    <w:pPr>
      <w:tabs>
        <w:tab w:val="left" w:pos="480"/>
        <w:tab w:val="right" w:pos="10456"/>
      </w:tabs>
      <w:spacing w:before="120" w:after="0" w:line="360" w:lineRule="auto"/>
    </w:pPr>
    <w:rPr>
      <w:rFonts w:asciiTheme="minorHAnsi" w:hAnsiTheme="minorHAnsi" w:cs="Arial"/>
      <w:b/>
      <w:bC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185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autocontrol.es/wp-content/uploads/2021/05/codigo-de-conducta-publicitaria-autocontrol.pdf" TargetMode="External"/><Relationship Id="rId21" Type="http://schemas.openxmlformats.org/officeDocument/2006/relationships/hyperlink" Target="https://cmpf.eui.eu/media-pluralism-monitor-2023/" TargetMode="External"/><Relationship Id="rId63" Type="http://schemas.openxmlformats.org/officeDocument/2006/relationships/hyperlink" Target="https://www.cultura.gob.es/actualidad/2024/06/240611-ley-cine.html" TargetMode="External"/><Relationship Id="rId159" Type="http://schemas.openxmlformats.org/officeDocument/2006/relationships/hyperlink" Target="https://eur-lex.europa.eu/legal-content/EN/TXT/?uri=celex%3A32006L0114" TargetMode="External"/><Relationship Id="rId170" Type="http://schemas.openxmlformats.org/officeDocument/2006/relationships/hyperlink" Target="https://eur-lex.europa.eu/eli/dir/2018/1808/oj" TargetMode="External"/><Relationship Id="rId226" Type="http://schemas.openxmlformats.org/officeDocument/2006/relationships/hyperlink" Target="https://www.autocontrol.es/wp-content/uploads/2023/02/codigo_fenin.pdf" TargetMode="External"/><Relationship Id="rId268" Type="http://schemas.openxmlformats.org/officeDocument/2006/relationships/hyperlink" Target="https://eur-lex.europa.eu/legal-content/EN/TXT/?uri=CELEX%3A32002L0058&amp;qid=1711734066770" TargetMode="External"/><Relationship Id="rId32" Type="http://schemas.openxmlformats.org/officeDocument/2006/relationships/hyperlink" Target="https://es.statista.com/temas/5506/consumo-de-prensa-en-espana/" TargetMode="External"/><Relationship Id="rId74" Type="http://schemas.openxmlformats.org/officeDocument/2006/relationships/hyperlink" Target="https://www.boe.es/biblioteca_juridica/codigos/codigo.php?id=248&amp;modo=2&amp;nota=0&amp;tab=2" TargetMode="External"/><Relationship Id="rId128" Type="http://schemas.openxmlformats.org/officeDocument/2006/relationships/hyperlink" Target="https://www.autocontrol.es/wp-content/uploads/2020/01/anexo-i-nueva-version-codigo-de-juego.pdf" TargetMode="External"/><Relationship Id="rId5" Type="http://schemas.openxmlformats.org/officeDocument/2006/relationships/numbering" Target="numbering.xml"/><Relationship Id="rId181" Type="http://schemas.openxmlformats.org/officeDocument/2006/relationships/hyperlink" Target="https://eur-lex.europa.eu/eli/dir/2019/2161/oj" TargetMode="External"/><Relationship Id="rId237" Type="http://schemas.openxmlformats.org/officeDocument/2006/relationships/hyperlink" Target="https://www.boe.es/eli/es/rdlg/2015/07/24/1/con" TargetMode="External"/><Relationship Id="rId279" Type="http://schemas.openxmlformats.org/officeDocument/2006/relationships/hyperlink" Target="https://www.hacienda.gob.es/en-GB/El%20Ministerio/Paginas/DPD/Normativa_PD.aspx" TargetMode="External"/><Relationship Id="rId43" Type="http://schemas.openxmlformats.org/officeDocument/2006/relationships/hyperlink" Target="https://iabspain.es/iab-spain-presenta-la-2a-ola-del-estudio-de-inversion-publicitaria-en-medios-digitales-2023/" TargetMode="External"/><Relationship Id="rId139" Type="http://schemas.openxmlformats.org/officeDocument/2006/relationships/hyperlink" Target="https://cec.consumo.gob.es/CEC/comunicacion/publicaciones/docs/FOLLETO_INSTITUCIONAL_CEC_ESPANA.pdf" TargetMode="External"/><Relationship Id="rId290" Type="http://schemas.openxmlformats.org/officeDocument/2006/relationships/fontTable" Target="fontTable.xml"/><Relationship Id="rId85" Type="http://schemas.openxmlformats.org/officeDocument/2006/relationships/hyperlink" Target="https://eur-lex.europa.eu/eli/reg/2016/679/oj" TargetMode="External"/><Relationship Id="rId150" Type="http://schemas.openxmlformats.org/officeDocument/2006/relationships/hyperlink" Target="https://eur-lex.europa.eu/legal-content/EN/TXT/?uri=celex%3A32005L0029" TargetMode="External"/><Relationship Id="rId192" Type="http://schemas.openxmlformats.org/officeDocument/2006/relationships/hyperlink" Target="https://eur-lex.europa.eu/legal-content/EN/TXT/?uri=celex%3A32005L0029" TargetMode="External"/><Relationship Id="rId206" Type="http://schemas.openxmlformats.org/officeDocument/2006/relationships/hyperlink" Target="https://www.boe.es/buscar/act.php?id=BOE-A-2022-11311" TargetMode="External"/><Relationship Id="rId248" Type="http://schemas.openxmlformats.org/officeDocument/2006/relationships/hyperlink" Target="https://www.boe.es/buscar/doc.php?id=BOE-A-2002-20855" TargetMode="External"/><Relationship Id="rId269" Type="http://schemas.openxmlformats.org/officeDocument/2006/relationships/hyperlink" Target="https://ec.europa.eu/commission/presscorner/detail/en/ip_24_708" TargetMode="External"/><Relationship Id="rId12" Type="http://schemas.openxmlformats.org/officeDocument/2006/relationships/hyperlink" Target="mailto:BCGproject@arts.ac.uk" TargetMode="External"/><Relationship Id="rId33" Type="http://schemas.openxmlformats.org/officeDocument/2006/relationships/hyperlink" Target="https://spainaudiovisualhub.mineco.gob.es/content/dam/seteleco-hub-audiovisual/resources/pdf/Informe%20Spain%20Audiovisual%20Hub_2023_Final_v5.pdf" TargetMode="External"/><Relationship Id="rId108" Type="http://schemas.openxmlformats.org/officeDocument/2006/relationships/hyperlink" Target="https://www.boe.es/eli/es/rdlg/2007/11/16/1/con" TargetMode="External"/><Relationship Id="rId129" Type="http://schemas.openxmlformats.org/officeDocument/2006/relationships/hyperlink" Target="https://anefp.org/sites/default/files/2020-07/C%C3%B3digo-normas-deontologicas-anefp-menosreme_may2020_2.pdf" TargetMode="External"/><Relationship Id="rId280" Type="http://schemas.openxmlformats.org/officeDocument/2006/relationships/hyperlink" Target="https://www.autocontrol.es/wp-content/uploads/2016/02/c%C2%A2digo-etico-de-publicidad-en-cine.pdf" TargetMode="External"/><Relationship Id="rId54" Type="http://schemas.openxmlformats.org/officeDocument/2006/relationships/hyperlink" Target="https://www.boe.es/buscar/act.php?id=BOE-A-2021-17910" TargetMode="External"/><Relationship Id="rId75" Type="http://schemas.openxmlformats.org/officeDocument/2006/relationships/hyperlink" Target="https://www.boe.es/buscar/act.php?id=BOE-A-1988-26156" TargetMode="External"/><Relationship Id="rId96" Type="http://schemas.openxmlformats.org/officeDocument/2006/relationships/hyperlink" Target="https://www.boe.es/buscar/act.php?id=BOE-A-2011-9280" TargetMode="External"/><Relationship Id="rId140" Type="http://schemas.openxmlformats.org/officeDocument/2006/relationships/hyperlink" Target="https://theeuropeannaturetrust.com/conservation/projects/spain/" TargetMode="External"/><Relationship Id="rId161" Type="http://schemas.openxmlformats.org/officeDocument/2006/relationships/hyperlink" Target="https://fape.es/home/codigo-deontologico/" TargetMode="External"/><Relationship Id="rId182" Type="http://schemas.openxmlformats.org/officeDocument/2006/relationships/hyperlink" Target="https://eur-lex.europa.eu/legal-content/EN/TXT/?uri=celex%3A32022R2065" TargetMode="External"/><Relationship Id="rId217" Type="http://schemas.openxmlformats.org/officeDocument/2006/relationships/hyperlink" Target="https://www.autocontrol.es/autocontrol/quienes-somos/" TargetMode="External"/><Relationship Id="rId6" Type="http://schemas.openxmlformats.org/officeDocument/2006/relationships/styles" Target="styles.xml"/><Relationship Id="rId238" Type="http://schemas.openxmlformats.org/officeDocument/2006/relationships/hyperlink" Target="https://www.boe.es/buscar/doc.php?id=BOE-A-2014-3329" TargetMode="External"/><Relationship Id="rId259" Type="http://schemas.openxmlformats.org/officeDocument/2006/relationships/hyperlink" Target="https://www.lamoncloa.gob.es/consejodeministros/Paginas/enlaces/031120-enlace-juego.aspx" TargetMode="External"/><Relationship Id="rId23" Type="http://schemas.openxmlformats.org/officeDocument/2006/relationships/hyperlink" Target="https://cmpf.eui.eu/media-pluralism-monitor-2023/" TargetMode="External"/><Relationship Id="rId119" Type="http://schemas.openxmlformats.org/officeDocument/2006/relationships/hyperlink" Target="https://icas.global/srodatabase/" TargetMode="External"/><Relationship Id="rId270" Type="http://schemas.openxmlformats.org/officeDocument/2006/relationships/hyperlink" Target="https://www.autocontrol.es/wp-content/uploads/2021/10/codigo-buenas-practicas-farmaindustria_junio_2021.pdf" TargetMode="External"/><Relationship Id="rId291" Type="http://schemas.openxmlformats.org/officeDocument/2006/relationships/theme" Target="theme/theme1.xml"/><Relationship Id="rId44" Type="http://schemas.openxmlformats.org/officeDocument/2006/relationships/hyperlink" Target="https://european-union.europa.eu/principles-countries-history/country-profiles/greece_en" TargetMode="External"/><Relationship Id="rId65" Type="http://schemas.openxmlformats.org/officeDocument/2006/relationships/hyperlink" Target="https://dialnet.unirioja.es/servlet/articulo?codigo=5488466" TargetMode="External"/><Relationship Id="rId86" Type="http://schemas.openxmlformats.org/officeDocument/2006/relationships/hyperlink" Target="https://eur-lex.europa.eu/eli/reg/2022/868/oj" TargetMode="External"/><Relationship Id="rId130" Type="http://schemas.openxmlformats.org/officeDocument/2006/relationships/hyperlink" Target="https://www.autocontrol.es/wp-content/uploads/2020/09/codigo-deontologico-aene_2020.pdf" TargetMode="External"/><Relationship Id="rId151" Type="http://schemas.openxmlformats.org/officeDocument/2006/relationships/hyperlink" Target="https://eur-lex.europa.eu/legal-content/EN/TXT/?uri=celex%3A32006L0114" TargetMode="External"/><Relationship Id="rId172" Type="http://schemas.openxmlformats.org/officeDocument/2006/relationships/hyperlink" Target="https://eur-lex.europa.eu/legal-content/EN/TXT/?uri=celex%3A32005L0029" TargetMode="External"/><Relationship Id="rId193" Type="http://schemas.openxmlformats.org/officeDocument/2006/relationships/hyperlink" Target="https://eur-lex.europa.eu/eli/dir/2018/1808/oj" TargetMode="External"/><Relationship Id="rId207" Type="http://schemas.openxmlformats.org/officeDocument/2006/relationships/hyperlink" Target="https://www.autocontrol.es/wp-content/uploads/2020/10/codigo-de-conducta-publicidad-influencers.pdf" TargetMode="External"/><Relationship Id="rId228" Type="http://schemas.openxmlformats.org/officeDocument/2006/relationships/hyperlink" Target="https://www.boe.es/biblioteca_juridica/codigos/codigo.php?id=248&amp;modo=2&amp;nota=0&amp;tab=2" TargetMode="External"/><Relationship Id="rId249" Type="http://schemas.openxmlformats.org/officeDocument/2006/relationships/hyperlink" Target="https://www.boe.es/buscar/doc.php?id=BOE-A-1999-17996" TargetMode="External"/><Relationship Id="rId13" Type="http://schemas.openxmlformats.org/officeDocument/2006/relationships/hyperlink" Target="https://www.cia.gov/the-world-factbook/countries/spain/" TargetMode="External"/><Relationship Id="rId109" Type="http://schemas.openxmlformats.org/officeDocument/2006/relationships/hyperlink" Target="https://www.boe.es/eli/es/l/1991/01/10/3/con" TargetMode="External"/><Relationship Id="rId260" Type="http://schemas.openxmlformats.org/officeDocument/2006/relationships/hyperlink" Target="https://www.dataguidance.com/opinion/eu-personalized-advertising-europe-and-legal" TargetMode="External"/><Relationship Id="rId281" Type="http://schemas.openxmlformats.org/officeDocument/2006/relationships/hyperlink" Target="https://www.autocontrol.es/wp-content/uploads/2021/03/codigo-comunicacion-comercial-vino_2021.pdf" TargetMode="External"/><Relationship Id="rId34" Type="http://schemas.openxmlformats.org/officeDocument/2006/relationships/hyperlink" Target="https://spainaudiovisualhub.mineco.gob.es/content/dam/seteleco-hub-audiovisual/resources/pdf/Informe%20Spain%20Audiovisual%20Hub_2023_Final_v5.pdf" TargetMode="External"/><Relationship Id="rId55" Type="http://schemas.openxmlformats.org/officeDocument/2006/relationships/hyperlink" Target="https://www.boe.es/eli/es/lo/2018/12/05/3" TargetMode="External"/><Relationship Id="rId76" Type="http://schemas.openxmlformats.org/officeDocument/2006/relationships/hyperlink" Target="https://eur-lex.europa.eu/legal-content/EN/TXT/?uri=celex%3A32006L0114" TargetMode="External"/><Relationship Id="rId97" Type="http://schemas.openxmlformats.org/officeDocument/2006/relationships/hyperlink" Target="https://www.boe.es/buscar/act.php?id=BOE-A-2010-10315" TargetMode="External"/><Relationship Id="rId120" Type="http://schemas.openxmlformats.org/officeDocument/2006/relationships/hyperlink" Target="https://www.autocontrol.es/wp-content/uploads/2020/10/codigo-de-conducta-publicidad-influencers.pdf" TargetMode="External"/><Relationship Id="rId141" Type="http://schemas.openxmlformats.org/officeDocument/2006/relationships/hyperlink" Target="https://www.foei.org/es/grupos-miembro/espana/" TargetMode="External"/><Relationship Id="rId7" Type="http://schemas.openxmlformats.org/officeDocument/2006/relationships/settings" Target="settings.xml"/><Relationship Id="rId162" Type="http://schemas.openxmlformats.org/officeDocument/2006/relationships/hyperlink" Target="https://www.presscouncils.eu/codes/18_es/" TargetMode="External"/><Relationship Id="rId183" Type="http://schemas.openxmlformats.org/officeDocument/2006/relationships/hyperlink" Target="https://eur-lex.europa.eu/legal-content/EN/TXT/?uri=celex%3A32022R2065" TargetMode="External"/><Relationship Id="rId218" Type="http://schemas.openxmlformats.org/officeDocument/2006/relationships/hyperlink" Target="https://www.autocontrol.es/servicios/" TargetMode="External"/><Relationship Id="rId239" Type="http://schemas.openxmlformats.org/officeDocument/2006/relationships/hyperlink" Target="https://www.boe.es/buscar/doc.php?id=DOUE-L-2013-81187" TargetMode="External"/><Relationship Id="rId250" Type="http://schemas.openxmlformats.org/officeDocument/2006/relationships/hyperlink" Target="https://www.boe.es/buscar/doc.php?id=BOE-A-1996-18085" TargetMode="External"/><Relationship Id="rId271" Type="http://schemas.openxmlformats.org/officeDocument/2006/relationships/hyperlink" Target="https://fape.es/home/codigo-deontologico/" TargetMode="External"/><Relationship Id="rId24" Type="http://schemas.openxmlformats.org/officeDocument/2006/relationships/hyperlink" Target="https://cmpf.eui.eu/media-pluralism-monitor-2023/" TargetMode="External"/><Relationship Id="rId45" Type="http://schemas.openxmlformats.org/officeDocument/2006/relationships/hyperlink" Target="https://eur-lex.europa.eu/eli/dir/2018/1808/oj" TargetMode="External"/><Relationship Id="rId66" Type="http://schemas.openxmlformats.org/officeDocument/2006/relationships/hyperlink" Target="https://www.boe.es/eli/es/l/2022/07/07/13/con" TargetMode="External"/><Relationship Id="rId87" Type="http://schemas.openxmlformats.org/officeDocument/2006/relationships/hyperlink" Target="https://eur-lex.europa.eu/legal-content/EN/TXT/?uri=celex%3A32022R2065" TargetMode="External"/><Relationship Id="rId110" Type="http://schemas.openxmlformats.org/officeDocument/2006/relationships/hyperlink" Target="https://www.boe.es/eli/es/cir/2020/06/26/4/con" TargetMode="External"/><Relationship Id="rId131" Type="http://schemas.openxmlformats.org/officeDocument/2006/relationships/hyperlink" Target="https://www.autocontrol.es/wp-content/uploads/2023/02/codigo_fenin.pdf" TargetMode="External"/><Relationship Id="rId152" Type="http://schemas.openxmlformats.org/officeDocument/2006/relationships/hyperlink" Target="https://eur-lex.europa.eu/legal-content/EN/TXT/?uri=celex%3A32006L0114" TargetMode="External"/><Relationship Id="rId173" Type="http://schemas.openxmlformats.org/officeDocument/2006/relationships/hyperlink" Target="https://eur-lex.europa.eu/legal-content/EN/TXT/?uri=celex%3A32006L0114" TargetMode="External"/><Relationship Id="rId194" Type="http://schemas.openxmlformats.org/officeDocument/2006/relationships/hyperlink" Target="https://www.scl.org/european-commission-and-consumer-authorities-investigate-online-influencers/" TargetMode="External"/><Relationship Id="rId208" Type="http://schemas.openxmlformats.org/officeDocument/2006/relationships/hyperlink" Target="https://www.autocontrol.es/wp-content/uploads/2020/09/codigo-deontologico-aene_2020.pdf" TargetMode="External"/><Relationship Id="rId229" Type="http://schemas.openxmlformats.org/officeDocument/2006/relationships/hyperlink" Target="https://www.boe.es/buscar/act.php?id=BOE-A-1988-26156" TargetMode="External"/><Relationship Id="rId240" Type="http://schemas.openxmlformats.org/officeDocument/2006/relationships/hyperlink" Target="https://www.boe.es/buscar/act.php?id=BOE-A-2010-10315" TargetMode="External"/><Relationship Id="rId261" Type="http://schemas.openxmlformats.org/officeDocument/2006/relationships/hyperlink" Target="https://www.autocontrol.es/wp-content/uploads/2024/01/codigo-autorregulacion-publicitaria-espirituosos.pdf" TargetMode="External"/><Relationship Id="rId14" Type="http://schemas.openxmlformats.org/officeDocument/2006/relationships/hyperlink" Target="https://www.cia.gov/the-world-factbook/countries/spain/" TargetMode="External"/><Relationship Id="rId35" Type="http://schemas.openxmlformats.org/officeDocument/2006/relationships/hyperlink" Target="https://cadmus.eui.eu/handle/1814/75739" TargetMode="External"/><Relationship Id="rId56" Type="http://schemas.openxmlformats.org/officeDocument/2006/relationships/hyperlink" Target="https://www.boe.es/eli/es/l/2002/07/11/34" TargetMode="External"/><Relationship Id="rId77" Type="http://schemas.openxmlformats.org/officeDocument/2006/relationships/hyperlink" Target="https://eur-lex.europa.eu/legal-content/EN/TXT/?uri=celex%3A32006L0114" TargetMode="External"/><Relationship Id="rId100" Type="http://schemas.openxmlformats.org/officeDocument/2006/relationships/hyperlink" Target="https://www.autocontrol.es/autocontrol/quienes-somos/" TargetMode="External"/><Relationship Id="rId282" Type="http://schemas.openxmlformats.org/officeDocument/2006/relationships/hyperlink" Target="https://www.xataka.com/legislacion-y-derechos/ley-iceta-lleva-censura-alla-normativa-europea-algoritmos-podran-cortar-streamings-aplicarla-directo" TargetMode="External"/><Relationship Id="rId8" Type="http://schemas.openxmlformats.org/officeDocument/2006/relationships/webSettings" Target="webSettings.xml"/><Relationship Id="rId98" Type="http://schemas.openxmlformats.org/officeDocument/2006/relationships/hyperlink" Target="https://www.boe.es/eli/es/rd/1994/06/25/1416" TargetMode="External"/><Relationship Id="rId121" Type="http://schemas.openxmlformats.org/officeDocument/2006/relationships/hyperlink" Target="https://www.autocontrol.es/wp-content/uploads/2018/11/codigo-buenas-practicas-etiquetado-toallitas-y-papel-higienico-humedo.pdf" TargetMode="External"/><Relationship Id="rId142" Type="http://schemas.openxmlformats.org/officeDocument/2006/relationships/hyperlink" Target="https://www.autocontrol.es/servicios/monitoring/" TargetMode="External"/><Relationship Id="rId163" Type="http://schemas.openxmlformats.org/officeDocument/2006/relationships/hyperlink" Target="https://eur-lex.europa.eu/legal-content/EN/TXT/?uri=celex%3A32005L0029" TargetMode="External"/><Relationship Id="rId184" Type="http://schemas.openxmlformats.org/officeDocument/2006/relationships/hyperlink" Target="https://eur-lex.europa.eu/legal-content/EN/TXT/?uri=celex%3A32022R2065" TargetMode="External"/><Relationship Id="rId219" Type="http://schemas.openxmlformats.org/officeDocument/2006/relationships/hyperlink" Target="https://www.autocontrol.es/servicios/sello-confianza-online/" TargetMode="External"/><Relationship Id="rId230" Type="http://schemas.openxmlformats.org/officeDocument/2006/relationships/hyperlink" Target="https://www.boe.es/diario_boe/txt.php?id=BOE-A-2022-11311" TargetMode="External"/><Relationship Id="rId251" Type="http://schemas.openxmlformats.org/officeDocument/2006/relationships/hyperlink" Target="https://www.boe.es/buscar/act.php?id=BOE-A-1996-8930" TargetMode="External"/><Relationship Id="rId25" Type="http://schemas.openxmlformats.org/officeDocument/2006/relationships/hyperlink" Target="https://cmpf.eui.eu/media-pluralism-monitor-2023/" TargetMode="External"/><Relationship Id="rId46" Type="http://schemas.openxmlformats.org/officeDocument/2006/relationships/hyperlink" Target="https://eur-lex.europa.eu/eli/reg/2022/868/oj" TargetMode="External"/><Relationship Id="rId67" Type="http://schemas.openxmlformats.org/officeDocument/2006/relationships/hyperlink" Target="https://www.boe.es/diario_boe/txt.php?id=BOE-A-2021-17910" TargetMode="External"/><Relationship Id="rId272" Type="http://schemas.openxmlformats.org/officeDocument/2006/relationships/hyperlink" Target="https://iabspain.es/iab-spain-presenta-la-2a-ola-del-estudio-de-inversion-publicitaria-en-medios-digitales-2023/" TargetMode="External"/><Relationship Id="rId88" Type="http://schemas.openxmlformats.org/officeDocument/2006/relationships/hyperlink" Target="https://eur-lex.europa.eu/eli/reg/2022/1925/oj" TargetMode="External"/><Relationship Id="rId111" Type="http://schemas.openxmlformats.org/officeDocument/2006/relationships/hyperlink" Target="https://www.autocontrol.es/autocontrol/quienes-somos/" TargetMode="External"/><Relationship Id="rId132" Type="http://schemas.openxmlformats.org/officeDocument/2006/relationships/hyperlink" Target="https://www.autocontrol.es/wp-content/uploads/2016/02/directrices_aevi_2018.pdf" TargetMode="External"/><Relationship Id="rId153" Type="http://schemas.openxmlformats.org/officeDocument/2006/relationships/hyperlink" Target="https://eur-lex.europa.eu/legal-content/EN/TXT/?uri=celex%3A32005L0029" TargetMode="External"/><Relationship Id="rId174" Type="http://schemas.openxmlformats.org/officeDocument/2006/relationships/hyperlink" Target="https://eur-lex.europa.eu/legal-content/EN/TXT/?uri=celex%3A32005L0029" TargetMode="External"/><Relationship Id="rId195" Type="http://schemas.openxmlformats.org/officeDocument/2006/relationships/hyperlink" Target="https://www.boe.es/buscar/act.php?id=BOE-A-2022-11311" TargetMode="External"/><Relationship Id="rId209" Type="http://schemas.openxmlformats.org/officeDocument/2006/relationships/hyperlink" Target="https://www.autocontrol.es/wp-content/uploads/2022/10/codigo-de-conducta-aeseg.pdf" TargetMode="External"/><Relationship Id="rId220" Type="http://schemas.openxmlformats.org/officeDocument/2006/relationships/hyperlink" Target="https://www.autocontrol.es/wp-content/uploads/2023/03/estatutos-autocontrol.pdf" TargetMode="External"/><Relationship Id="rId241" Type="http://schemas.openxmlformats.org/officeDocument/2006/relationships/hyperlink" Target="https://www.boe.es/buscar/act.php?id=BOE-A-2011-9280" TargetMode="External"/><Relationship Id="rId15" Type="http://schemas.openxmlformats.org/officeDocument/2006/relationships/hyperlink" Target="https://www.cia.gov/the-world-factbook/countries/spain/" TargetMode="External"/><Relationship Id="rId36" Type="http://schemas.openxmlformats.org/officeDocument/2006/relationships/hyperlink" Target="https://editoresmadrid.org/analisis-del-mercado-del-libro-en-espana-2022-el-sector-editorial-mantiene-el-ritmo-de-crecimiento-y-acumula-una-decada-de-subidas/" TargetMode="External"/><Relationship Id="rId57" Type="http://schemas.openxmlformats.org/officeDocument/2006/relationships/hyperlink" Target="https://www.boe.es/eli/es/l/1991/01/10/3/con" TargetMode="External"/><Relationship Id="rId262" Type="http://schemas.openxmlformats.org/officeDocument/2006/relationships/hyperlink" Target="https://eur-lex.europa.eu/legal-content/EN/TXT/?uri=celex%3A32022R2065" TargetMode="External"/><Relationship Id="rId283" Type="http://schemas.openxmlformats.org/officeDocument/2006/relationships/hyperlink" Target="https://www.presscouncils.eu/codes/18_es/" TargetMode="External"/><Relationship Id="rId78" Type="http://schemas.openxmlformats.org/officeDocument/2006/relationships/hyperlink" Target="https://www.boe.es/buscar/act.php?id=BOE-A-2005-21524&amp;tn=1&amp;p=20141230" TargetMode="External"/><Relationship Id="rId99" Type="http://schemas.openxmlformats.org/officeDocument/2006/relationships/hyperlink" Target="https://www.boe.es/eli/es/rdlg/2015/07/24/1/con" TargetMode="External"/><Relationship Id="rId101" Type="http://schemas.openxmlformats.org/officeDocument/2006/relationships/hyperlink" Target="https://www.autocontrol.es/autorregulacion-publicitaria/" TargetMode="External"/><Relationship Id="rId122" Type="http://schemas.openxmlformats.org/officeDocument/2006/relationships/hyperlink" Target="https://www.autocontrol.es/wp-content/uploads/2021/03/codigo-comunicacion-comercial-vino_2021.pdf" TargetMode="External"/><Relationship Id="rId143" Type="http://schemas.openxmlformats.org/officeDocument/2006/relationships/hyperlink" Target="https://es.statista.com/estadisticas/970976/tasa-de-penetracion-de-la-publicidad-exterior-por-indice-socioeconomico-espana/" TargetMode="External"/><Relationship Id="rId164" Type="http://schemas.openxmlformats.org/officeDocument/2006/relationships/hyperlink" Target="https://eur-lex.europa.eu/legal-content/EN/TXT/?uri=celex%3A32005L0029" TargetMode="External"/><Relationship Id="rId185" Type="http://schemas.openxmlformats.org/officeDocument/2006/relationships/hyperlink" Target="https://eur-lex.europa.eu/eli/reg/2016/679/oj" TargetMode="External"/><Relationship Id="rId9" Type="http://schemas.openxmlformats.org/officeDocument/2006/relationships/footnotes" Target="footnotes.xml"/><Relationship Id="rId210" Type="http://schemas.openxmlformats.org/officeDocument/2006/relationships/hyperlink" Target="https://www.autocontrol.es/wp-content/uploads/2022/04/capij_anexo-protocolo-dgc_autocontrol_aefj.pdf" TargetMode="External"/><Relationship Id="rId26" Type="http://schemas.openxmlformats.org/officeDocument/2006/relationships/hyperlink" Target="https://cmpf.eui.eu/media-pluralism-monitor-2023/" TargetMode="External"/><Relationship Id="rId231" Type="http://schemas.openxmlformats.org/officeDocument/2006/relationships/hyperlink" Target="https://www.boe.es/buscar/act.php?id=BOE-A-2011-9280" TargetMode="External"/><Relationship Id="rId252" Type="http://schemas.openxmlformats.org/officeDocument/2006/relationships/hyperlink" Target="https://www.boe.es/buscar/doc.php?id=BOE-A-1994-17681" TargetMode="External"/><Relationship Id="rId273" Type="http://schemas.openxmlformats.org/officeDocument/2006/relationships/hyperlink" Target="https://www.infoadex.es/home/wp-content/uploads/2024/02/Estudio-InfoAdex-2024-Resumen.pdf" TargetMode="External"/><Relationship Id="rId47" Type="http://schemas.openxmlformats.org/officeDocument/2006/relationships/hyperlink" Target="https://eur-lex.europa.eu/legal-content/EN/TXT/?uri=CELEX:32022R2065" TargetMode="External"/><Relationship Id="rId68" Type="http://schemas.openxmlformats.org/officeDocument/2006/relationships/hyperlink" Target="https://www.boe.es/buscar/act.php?id=BOE-A-1988-26156" TargetMode="External"/><Relationship Id="rId89" Type="http://schemas.openxmlformats.org/officeDocument/2006/relationships/hyperlink" Target="https://www.boe.es/buscar/act.php?id=BOE-A-2022-11311" TargetMode="External"/><Relationship Id="rId112" Type="http://schemas.openxmlformats.org/officeDocument/2006/relationships/hyperlink" Target="https://www.autocontrol.es/servicios/" TargetMode="External"/><Relationship Id="rId133" Type="http://schemas.openxmlformats.org/officeDocument/2006/relationships/hyperlink" Target="https://www.autocontrol.es/wp-content/uploads/2016/02/c%C2%A2digo-paos.pdf" TargetMode="External"/><Relationship Id="rId154" Type="http://schemas.openxmlformats.org/officeDocument/2006/relationships/hyperlink" Target="https://www.boe.es/buscar/act.php?id=BOE-A-2022-11311" TargetMode="External"/><Relationship Id="rId175" Type="http://schemas.openxmlformats.org/officeDocument/2006/relationships/hyperlink" Target="https://www.boe.es/buscar/act.php?id=BOE-A-2022-11311" TargetMode="External"/><Relationship Id="rId196" Type="http://schemas.openxmlformats.org/officeDocument/2006/relationships/hyperlink" Target="https://eur-lex.europa.eu/legal-content/EN/TXT/?uri=celex%3A32005L0029" TargetMode="External"/><Relationship Id="rId200" Type="http://schemas.openxmlformats.org/officeDocument/2006/relationships/hyperlink" Target="https://eur-lex.europa.eu/legal-content/EN/TXT/?uri=celex%3A32006L0114" TargetMode="External"/><Relationship Id="rId16" Type="http://schemas.openxmlformats.org/officeDocument/2006/relationships/hyperlink" Target="https://www.cia.gov/the-world-factbook/countries/spain/" TargetMode="External"/><Relationship Id="rId221" Type="http://schemas.openxmlformats.org/officeDocument/2006/relationships/hyperlink" Target="https://www.autocontrol.es/wp-content/uploads/2021/05/codigo-de-conducta-publicitaria-autocontrol.pdf" TargetMode="External"/><Relationship Id="rId242" Type="http://schemas.openxmlformats.org/officeDocument/2006/relationships/hyperlink" Target="https://www.boe.es/eli/es/l/2009/12/30/29" TargetMode="External"/><Relationship Id="rId263" Type="http://schemas.openxmlformats.org/officeDocument/2006/relationships/hyperlink" Target="https://eur-lex.europa.eu/legal-content/EN/TXT/?uri=CELEX%3A32022R1925&amp;qid=1711734996552" TargetMode="External"/><Relationship Id="rId284" Type="http://schemas.openxmlformats.org/officeDocument/2006/relationships/hyperlink" Target="http://www.scielo.org.co/scielo.php?script=sci_arttext&amp;pid=S0121-16172010000100010&amp;lng=en&amp;tlng=" TargetMode="External"/><Relationship Id="rId37" Type="http://schemas.openxmlformats.org/officeDocument/2006/relationships/hyperlink" Target="https://cadmus.eui.eu/handle/1814/75739" TargetMode="External"/><Relationship Id="rId58" Type="http://schemas.openxmlformats.org/officeDocument/2006/relationships/hyperlink" Target="https://portal.mineco.gob.es/es-es/TID/Paginas/seteleco.aspx" TargetMode="External"/><Relationship Id="rId79" Type="http://schemas.openxmlformats.org/officeDocument/2006/relationships/hyperlink" Target="https://www.lamoncloa.gob.es/documents/4C33-0732-RealDecreto947_2006.pdf" TargetMode="External"/><Relationship Id="rId102" Type="http://schemas.openxmlformats.org/officeDocument/2006/relationships/hyperlink" Target="https://www.boe.es/eli/es/l/1988/11/11/34" TargetMode="External"/><Relationship Id="rId123" Type="http://schemas.openxmlformats.org/officeDocument/2006/relationships/hyperlink" Target="https://www.autocontrol.es/wp-content/uploads/2022/10/codigo-de-conducta-aeseg.pdf" TargetMode="External"/><Relationship Id="rId144" Type="http://schemas.openxmlformats.org/officeDocument/2006/relationships/hyperlink" Target="https://www.anunciantes.com/observatorio-la-publicidad/" TargetMode="External"/><Relationship Id="rId90" Type="http://schemas.openxmlformats.org/officeDocument/2006/relationships/hyperlink" Target="https://www.boe.es/buscar/act.php?id=BOE-A-2007-20555" TargetMode="External"/><Relationship Id="rId165" Type="http://schemas.openxmlformats.org/officeDocument/2006/relationships/hyperlink" Target="https://eur-lex.europa.eu/legal-content/EN/TXT/?uri=celex%3A32006L0114" TargetMode="External"/><Relationship Id="rId186" Type="http://schemas.openxmlformats.org/officeDocument/2006/relationships/hyperlink" Target="https://eur-lex.europa.eu/eli/reg/2022/868/oj" TargetMode="External"/><Relationship Id="rId211" Type="http://schemas.openxmlformats.org/officeDocument/2006/relationships/hyperlink" Target="https://www.autocontrol.es/wp-content/uploads/2016/02/directrices_aevi_2018.pdf" TargetMode="External"/><Relationship Id="rId232" Type="http://schemas.openxmlformats.org/officeDocument/2006/relationships/hyperlink" Target="https://www.boe.es/buscar/act.php?id=BOE-A-2021-17910" TargetMode="External"/><Relationship Id="rId253" Type="http://schemas.openxmlformats.org/officeDocument/2006/relationships/hyperlink" Target="https://www.boe.es/buscar/doc.php?id=BOE-A-1991-628" TargetMode="External"/><Relationship Id="rId274" Type="http://schemas.openxmlformats.org/officeDocument/2006/relationships/hyperlink" Target="https://atlasnacional.ign.es/wane/Espa%C3%B1a_en_el_contexto_geogr%C3%A1fico_mundial" TargetMode="External"/><Relationship Id="rId27" Type="http://schemas.openxmlformats.org/officeDocument/2006/relationships/hyperlink" Target="https://cmpf.eui.eu/media-pluralism-monitor-2023/" TargetMode="External"/><Relationship Id="rId48" Type="http://schemas.openxmlformats.org/officeDocument/2006/relationships/hyperlink" Target="https://eur-lex.europa.eu/legal-content/EN/TXT/?uri=CELEX%3A32022R1925&amp;qid=1711734996552" TargetMode="External"/><Relationship Id="rId69" Type="http://schemas.openxmlformats.org/officeDocument/2006/relationships/hyperlink" Target="https://www.boe.es/buscar/act.php?id=BOE-A-1991-628" TargetMode="External"/><Relationship Id="rId113" Type="http://schemas.openxmlformats.org/officeDocument/2006/relationships/hyperlink" Target="https://www.autocontrol.es/servicios/sello-confianza-online/" TargetMode="External"/><Relationship Id="rId134" Type="http://schemas.openxmlformats.org/officeDocument/2006/relationships/hyperlink" Target="https://www.autocontrol.es/wp-content/uploads/2022/04/capij_anexo-protocolo-dgc_autocontrol_aefj.pd" TargetMode="External"/><Relationship Id="rId80" Type="http://schemas.openxmlformats.org/officeDocument/2006/relationships/hyperlink" Target="https://eur-lex.europa.eu/legal-content/EN/TXT/?uri=celex%3A32005L0029" TargetMode="External"/><Relationship Id="rId155" Type="http://schemas.openxmlformats.org/officeDocument/2006/relationships/hyperlink" Target="https://www.autocontrol.es/wp-content/uploads/2020/10/codigo-de-conducta-publicidad-influencers.pdf" TargetMode="External"/><Relationship Id="rId176" Type="http://schemas.openxmlformats.org/officeDocument/2006/relationships/hyperlink" Target="https://www.boe.es/buscar/act.php?id=BOE-A-2022-11311" TargetMode="External"/><Relationship Id="rId197" Type="http://schemas.openxmlformats.org/officeDocument/2006/relationships/hyperlink" Target="https://eur-lex.europa.eu/eli/dir/2018/1808/oj" TargetMode="External"/><Relationship Id="rId201" Type="http://schemas.openxmlformats.org/officeDocument/2006/relationships/hyperlink" Target="https://www.boe.es/buscar/act.php?id=BOE-A-2022-11311" TargetMode="External"/><Relationship Id="rId222" Type="http://schemas.openxmlformats.org/officeDocument/2006/relationships/hyperlink" Target="https://www.confianzaonline.es/doc/codigo_etico_confianzaonline.pdf" TargetMode="External"/><Relationship Id="rId243" Type="http://schemas.openxmlformats.org/officeDocument/2006/relationships/hyperlink" Target="https://www.boe.es/buscar/act.php?id=BOE-A-2010-20138" TargetMode="External"/><Relationship Id="rId264" Type="http://schemas.openxmlformats.org/officeDocument/2006/relationships/hyperlink" Target="https://eur-lex.europa.eu/eli/dir/2018/1808/oj" TargetMode="External"/><Relationship Id="rId285" Type="http://schemas.openxmlformats.org/officeDocument/2006/relationships/hyperlink" Target="https://www.scl.org/european-commission-and-consumer-authorities-investigate-online-influencers/" TargetMode="External"/><Relationship Id="rId17" Type="http://schemas.openxmlformats.org/officeDocument/2006/relationships/hyperlink" Target="https://www.boe.es/buscar/act.php?id=BOE-A-1978-31229" TargetMode="External"/><Relationship Id="rId38" Type="http://schemas.openxmlformats.org/officeDocument/2006/relationships/hyperlink" Target="https://www.infoadex.es/home/wp-content/uploads/2024/02/Estudio-InfoAdex-2024-Resumen.pdf" TargetMode="External"/><Relationship Id="rId59" Type="http://schemas.openxmlformats.org/officeDocument/2006/relationships/hyperlink" Target="https://www.cnmc.es/sobre-la-cnmc/que-es-la-cnmc" TargetMode="External"/><Relationship Id="rId103" Type="http://schemas.openxmlformats.org/officeDocument/2006/relationships/hyperlink" Target="https://www.boe.es/eli/es/rdlg/2007/11/16/1/con" TargetMode="External"/><Relationship Id="rId124" Type="http://schemas.openxmlformats.org/officeDocument/2006/relationships/hyperlink" Target="https://www.autocontrol.es/wp-content/uploads/2016/02/c%C2%A2digo-deontol%C2%A2gico-de-aguas-envasadas-aneabe.pdf" TargetMode="External"/><Relationship Id="rId70" Type="http://schemas.openxmlformats.org/officeDocument/2006/relationships/hyperlink" Target="https://www.boe.es/buscar/act.php?id=BOE-A-2007-20555" TargetMode="External"/><Relationship Id="rId91" Type="http://schemas.openxmlformats.org/officeDocument/2006/relationships/hyperlink" Target="https://www.boe.es/buscar/doc.php?id=BOE-A-2014-3329" TargetMode="External"/><Relationship Id="rId145" Type="http://schemas.openxmlformats.org/officeDocument/2006/relationships/hyperlink" Target="https://www.boe.es/buscar/act.php?id=BOE-A-2022-11311" TargetMode="External"/><Relationship Id="rId166" Type="http://schemas.openxmlformats.org/officeDocument/2006/relationships/hyperlink" Target="https://eur-lex.europa.eu/eli/dir/2018/1808/oj" TargetMode="External"/><Relationship Id="rId187" Type="http://schemas.openxmlformats.org/officeDocument/2006/relationships/hyperlink" Target="https://eur-lex.europa.eu/legal-content/EN/TXT/?uri=celex%3A32009L0136" TargetMode="External"/><Relationship Id="rId1" Type="http://schemas.openxmlformats.org/officeDocument/2006/relationships/customXml" Target="../customXml/item1.xml"/><Relationship Id="rId212" Type="http://schemas.openxmlformats.org/officeDocument/2006/relationships/hyperlink" Target="https://www.autocontrol.es/wp-content/uploads/2016/02/c%C2%A2digo-deontol%C2%A2gico-de-aguas-envasadas-aneabe.pdf" TargetMode="External"/><Relationship Id="rId233" Type="http://schemas.openxmlformats.org/officeDocument/2006/relationships/hyperlink" Target="https://www.boe.es/eli/es/cir/2020/06/26/4/con" TargetMode="External"/><Relationship Id="rId254" Type="http://schemas.openxmlformats.org/officeDocument/2006/relationships/hyperlink" Target="https://www.boe.es/buscar/act.php?id=BOE-A-1988-26156" TargetMode="External"/><Relationship Id="rId28" Type="http://schemas.openxmlformats.org/officeDocument/2006/relationships/hyperlink" Target="https://kreab.com/espana/actualidad/informe-de-medios-2023/" TargetMode="External"/><Relationship Id="rId49" Type="http://schemas.openxmlformats.org/officeDocument/2006/relationships/hyperlink" Target="https://eur-lex.europa.eu/legal-content/EN/ALL/?uri=CELEX:32006L0114" TargetMode="External"/><Relationship Id="rId114" Type="http://schemas.openxmlformats.org/officeDocument/2006/relationships/hyperlink" Target="https://www.boe.es/eli/es/l/1991/01/10/3/con" TargetMode="External"/><Relationship Id="rId275" Type="http://schemas.openxmlformats.org/officeDocument/2006/relationships/hyperlink" Target="https://www.ine.es/" TargetMode="External"/><Relationship Id="rId60" Type="http://schemas.openxmlformats.org/officeDocument/2006/relationships/hyperlink" Target="https://www.boe.es/diario_boe/txt.php?id=BOE-A-2013-5940" TargetMode="External"/><Relationship Id="rId81" Type="http://schemas.openxmlformats.org/officeDocument/2006/relationships/hyperlink" Target="https://eur-lex.europa.eu/legal-content/EN/TXT/?uri=celex%3A32006L0114" TargetMode="External"/><Relationship Id="rId135" Type="http://schemas.openxmlformats.org/officeDocument/2006/relationships/hyperlink" Target="https://www.autocontrol.es/wp-content/uploads/2024/01/codigo-autorregulacion-publicitaria-espirituosos.pdf" TargetMode="External"/><Relationship Id="rId156" Type="http://schemas.openxmlformats.org/officeDocument/2006/relationships/hyperlink" Target="https://eur-lex.europa.eu/legal-content/EN/TXT/?uri=celex%3A32005L0029" TargetMode="External"/><Relationship Id="rId177" Type="http://schemas.openxmlformats.org/officeDocument/2006/relationships/hyperlink" Target="https://www.boe.es/buscar/act.php?id=BOE-A-2011-12913" TargetMode="External"/><Relationship Id="rId198" Type="http://schemas.openxmlformats.org/officeDocument/2006/relationships/hyperlink" Target="https://www.boe.es/buscar/act.php?id=BOE-A-2002-13758" TargetMode="External"/><Relationship Id="rId202" Type="http://schemas.openxmlformats.org/officeDocument/2006/relationships/hyperlink" Target="https://eur-lex.europa.eu/legal-content/EN/TXT/?uri=celex%3A32005L0029" TargetMode="External"/><Relationship Id="rId223" Type="http://schemas.openxmlformats.org/officeDocument/2006/relationships/hyperlink" Target="https://www.autocontrol.es/wp-content/uploads/2023/12/reglamento-del-jurado-de-la-publicidad-autocontrol.pdf" TargetMode="External"/><Relationship Id="rId244" Type="http://schemas.openxmlformats.org/officeDocument/2006/relationships/hyperlink" Target="https://www.boe.es/buscar/act.php?id=BOE-A-2010-10315" TargetMode="External"/><Relationship Id="rId18" Type="http://schemas.openxmlformats.org/officeDocument/2006/relationships/hyperlink" Target="https://www.ine.es/ss/Satellite?L=es_ES&amp;c=INESeccion_C&amp;cid=1259925528559&amp;p=%2F&amp;pagename=ProductosYServicios%2FPYSLayout&amp;param1=PYSDetalle&amp;param3=1259924822888" TargetMode="External"/><Relationship Id="rId39" Type="http://schemas.openxmlformats.org/officeDocument/2006/relationships/hyperlink" Target="https://www.infoadex.es/home/wp-content/uploads/2024/02/Estudio-InfoAdex-2024-Resumen.pdf" TargetMode="External"/><Relationship Id="rId265" Type="http://schemas.openxmlformats.org/officeDocument/2006/relationships/hyperlink" Target="https://eur-lex.europa.eu/legal-content/EN/TXT/?uri=CELEX%3A32016L0680&amp;qid=1711735527088" TargetMode="External"/><Relationship Id="rId286" Type="http://schemas.openxmlformats.org/officeDocument/2006/relationships/hyperlink" Target="https://spainaudiovisualhub.mineco.gob.es/content/dam/seteleco-hub-audiovisual/resources/pdf/Informe%20Spain%20Audiovisual%20Hub_2023_Final_v5.pdf" TargetMode="External"/><Relationship Id="rId50" Type="http://schemas.openxmlformats.org/officeDocument/2006/relationships/hyperlink" Target="https://eur-lex.europa.eu/legal-content/EN/TXT/?uri=CELEX%3A32002L0058&amp;qid=1711734066770" TargetMode="External"/><Relationship Id="rId104" Type="http://schemas.openxmlformats.org/officeDocument/2006/relationships/hyperlink" Target="https://www.boe.es/eli/es/rdlg/2007/11/16/1/con" TargetMode="External"/><Relationship Id="rId125" Type="http://schemas.openxmlformats.org/officeDocument/2006/relationships/hyperlink" Target="https://www.autocontrol.es/wp-content/uploads/2016/02/c%C2%A2digo-etico-de-publicidad-en-cine.pdf" TargetMode="External"/><Relationship Id="rId146" Type="http://schemas.openxmlformats.org/officeDocument/2006/relationships/hyperlink" Target="https://www.boe.es/biblioteca_juridica/codigos/codigo.php?id=248&amp;modo=2&amp;nota=0&amp;tab=2" TargetMode="External"/><Relationship Id="rId167" Type="http://schemas.openxmlformats.org/officeDocument/2006/relationships/hyperlink" Target="https://www.boe.es/buscar/act.php?id=BOE-A-2022-11311" TargetMode="External"/><Relationship Id="rId188" Type="http://schemas.openxmlformats.org/officeDocument/2006/relationships/hyperlink" Target="https://eur-lex.europa.eu/legal-content/EN/ALL/?uri=celex%3A32000L0031" TargetMode="External"/><Relationship Id="rId71" Type="http://schemas.openxmlformats.org/officeDocument/2006/relationships/hyperlink" Target="https://www.boe.es/buscar/act.php?id=BOE-A-2022-11311" TargetMode="External"/><Relationship Id="rId92" Type="http://schemas.openxmlformats.org/officeDocument/2006/relationships/hyperlink" Target="https://www.boe.es/buscar/doc.php?id=DOUE-L-2013-81187" TargetMode="External"/><Relationship Id="rId213" Type="http://schemas.openxmlformats.org/officeDocument/2006/relationships/hyperlink" Target="https://www.autocontrol.es/wp-content/uploads/2016/02/c%C2%A2digo-deontol%C2%A2gico-de-buenas-pr%E2%80%A0cticas-comerciales-para-la-promoci%C2%A2n-de-los-productos-dietcticos-infantiles-andi.pdf" TargetMode="External"/><Relationship Id="rId234" Type="http://schemas.openxmlformats.org/officeDocument/2006/relationships/hyperlink" Target="https://www.boe.es/buscar/doc.php?id=BOE-A-2020-13495&amp;orden=conte" TargetMode="External"/><Relationship Id="rId2" Type="http://schemas.openxmlformats.org/officeDocument/2006/relationships/customXml" Target="../customXml/item2.xml"/><Relationship Id="rId29" Type="http://schemas.openxmlformats.org/officeDocument/2006/relationships/hyperlink" Target="https://www.realinstitutoelcano.org/documento-de-trabajo/la-presencia-de-espana-en-la-prensa-internacional-durante-2022/" TargetMode="External"/><Relationship Id="rId255" Type="http://schemas.openxmlformats.org/officeDocument/2006/relationships/hyperlink" Target="https://www.boe.es/eli/es/lo/1982/05/05/1/con" TargetMode="External"/><Relationship Id="rId276" Type="http://schemas.openxmlformats.org/officeDocument/2006/relationships/hyperlink" Target="https://www.ine.es/prensa/cre_2022.pdf" TargetMode="External"/><Relationship Id="rId40" Type="http://schemas.openxmlformats.org/officeDocument/2006/relationships/hyperlink" Target="https://iabspain.es/iab-spain-presenta-la-2a-ola-del-estudio-de-inversion-publicitaria-en-medios-digitales-2023/" TargetMode="External"/><Relationship Id="rId115" Type="http://schemas.openxmlformats.org/officeDocument/2006/relationships/hyperlink" Target="https://www.autocontrol.es/wp-content/uploads/2023/03/estatutos-autocontrol.pdf" TargetMode="External"/><Relationship Id="rId136" Type="http://schemas.openxmlformats.org/officeDocument/2006/relationships/hyperlink" Target="https://www.autocontrol.es/wp-content/uploads/2016/02/c%C2%A2digo-de-autorregulaci%C2%A2n-publicitaria-de-cerveceros-de-espa%C2%A7a-cerveceros.pdf" TargetMode="External"/><Relationship Id="rId157" Type="http://schemas.openxmlformats.org/officeDocument/2006/relationships/hyperlink" Target="https://www.autocontrol.es/wp-content/uploads/2021/05/codigo-de-conducta-publicitaria-autocontrol.pdf" TargetMode="External"/><Relationship Id="rId178" Type="http://schemas.openxmlformats.org/officeDocument/2006/relationships/hyperlink" Target="https://eur-lex.europa.eu/legal-content/EN/TXT/?uri=celex%3A32005L0029" TargetMode="External"/><Relationship Id="rId61" Type="http://schemas.openxmlformats.org/officeDocument/2006/relationships/hyperlink" Target="https://portal.mineco.gob.es/es-es/TID/hub-audiovisual/Paginas/el-plan.aspx?slrid=9a03b09f-7e6e-b0a1-2011-e606b5f3918b" TargetMode="External"/><Relationship Id="rId82" Type="http://schemas.openxmlformats.org/officeDocument/2006/relationships/hyperlink" Target="https://eur-lex.europa.eu/legal-content/EN/ALL/?uri=celex%3A32000L0031" TargetMode="External"/><Relationship Id="rId199" Type="http://schemas.openxmlformats.org/officeDocument/2006/relationships/hyperlink" Target="https://eur-lex.europa.eu/legal-content/EN/TXT/?uri=celex%3A32005L0029" TargetMode="External"/><Relationship Id="rId203" Type="http://schemas.openxmlformats.org/officeDocument/2006/relationships/hyperlink" Target="https://eur-lex.europa.eu/legal-content/EN/TXT/?uri=celex%3A32005L0029" TargetMode="External"/><Relationship Id="rId19" Type="http://schemas.openxmlformats.org/officeDocument/2006/relationships/hyperlink" Target="https://www.ine.es/ss/Satellite?L=es_ES&amp;c=INESeccion_C&amp;cid=1259925528559&amp;p=%2F&amp;pagename=ProductosYServicios%2FPYSLayout&amp;param1=PYSDetalle&amp;param3=1259924822888" TargetMode="External"/><Relationship Id="rId224" Type="http://schemas.openxmlformats.org/officeDocument/2006/relationships/hyperlink" Target="https://www.autocontrol.es/wp-content/uploads/2023/10/codigo-de-conducta-proteccion-de-datos-autocontrol.pdf" TargetMode="External"/><Relationship Id="rId245" Type="http://schemas.openxmlformats.org/officeDocument/2006/relationships/hyperlink" Target="https://www.boe.es/eli/es/l/2009/12/30/29" TargetMode="External"/><Relationship Id="rId266" Type="http://schemas.openxmlformats.org/officeDocument/2006/relationships/hyperlink" Target="https://eur-lex.europa.eu/legal-content/EN/ALL/?uri=CELEX:32006L0114" TargetMode="External"/><Relationship Id="rId287" Type="http://schemas.openxmlformats.org/officeDocument/2006/relationships/hyperlink" Target="https://hdl.handle.net/1814/75739" TargetMode="External"/><Relationship Id="rId30" Type="http://schemas.openxmlformats.org/officeDocument/2006/relationships/hyperlink" Target="https://comercio.gob.es/es-es/NotasPrensa/2024/Paginas/240219_ComercioExterior2023.aspx" TargetMode="External"/><Relationship Id="rId105" Type="http://schemas.openxmlformats.org/officeDocument/2006/relationships/hyperlink" Target="https://responde-funcionario-gob.es/ley-general-de-la-publicidad/" TargetMode="External"/><Relationship Id="rId126" Type="http://schemas.openxmlformats.org/officeDocument/2006/relationships/hyperlink" Target="https://www.autocontrol.es/wp-content/uploads/2016/02/c%C2%A2digo-de-autorregulaci%C2%A2n-para-una-comunicaci%C2%A2n-responsable-en-el-sector-de-perfumer%C2%B0a-y-cosmctica-stanpa.pdf" TargetMode="External"/><Relationship Id="rId147" Type="http://schemas.openxmlformats.org/officeDocument/2006/relationships/hyperlink" Target="https://eur-lex.europa.eu/legal-content/EN/TXT/?uri=celex%3A32005L0029" TargetMode="External"/><Relationship Id="rId168" Type="http://schemas.openxmlformats.org/officeDocument/2006/relationships/hyperlink" Target="https://www.boe.es/buscar/doc.php?id=BOE-A-1980-724" TargetMode="External"/><Relationship Id="rId51" Type="http://schemas.openxmlformats.org/officeDocument/2006/relationships/hyperlink" Target="https://eur-lex.europa.eu/legal-content/EN/TXT/?uri=CELEX%3A32001L0029&amp;qid=1711734066770" TargetMode="External"/><Relationship Id="rId72" Type="http://schemas.openxmlformats.org/officeDocument/2006/relationships/hyperlink" Target="https://www.boe.es/buscar/act.php?id=BOE-A-2018-16673" TargetMode="External"/><Relationship Id="rId93" Type="http://schemas.openxmlformats.org/officeDocument/2006/relationships/hyperlink" Target="https://www.boe.es/eli/es/l/2010/12/30/42/con" TargetMode="External"/><Relationship Id="rId189" Type="http://schemas.openxmlformats.org/officeDocument/2006/relationships/hyperlink" Target="https://eur-lex.europa.eu/legal-content/EN/TXT/?uri=celex%3A32005L0029" TargetMode="External"/><Relationship Id="rId3" Type="http://schemas.openxmlformats.org/officeDocument/2006/relationships/customXml" Target="../customXml/item3.xml"/><Relationship Id="rId214" Type="http://schemas.openxmlformats.org/officeDocument/2006/relationships/hyperlink" Target="https://www.autocontrol.es/wp-content/uploads/2018/11/codigo-buenas-practicas-etiquetado-toallitas-y-papel-higienico-humedo.pdf" TargetMode="External"/><Relationship Id="rId235" Type="http://schemas.openxmlformats.org/officeDocument/2006/relationships/hyperlink" Target="https://www.boe.es/buscar/act.php?id=BOE-A-2010-10315" TargetMode="External"/><Relationship Id="rId256" Type="http://schemas.openxmlformats.org/officeDocument/2006/relationships/hyperlink" Target="https://www.boe.es/buscar/act.php?id=BOE-A-1978-31229" TargetMode="External"/><Relationship Id="rId277" Type="http://schemas.openxmlformats.org/officeDocument/2006/relationships/hyperlink" Target="https://www.ine.es/ss/Satellite?L=es_ES&amp;c=INESeccion_C&amp;cid=1259925528559&amp;p=%2F&amp;pagename=ProductosYServicios%2FPYSLayout&amp;param1=PYSDetalle&amp;param3=1259924822888" TargetMode="External"/><Relationship Id="rId116" Type="http://schemas.openxmlformats.org/officeDocument/2006/relationships/hyperlink" Target="https://www.autocontrol.es/wp-content/uploads/2023/12/reglamento-del-jurado-de-la-publicidad-autocontrol.pdf" TargetMode="External"/><Relationship Id="rId137" Type="http://schemas.openxmlformats.org/officeDocument/2006/relationships/hyperlink" Target="https://www.autocontrol.es/wp-content/uploads/2021/10/codigo-buenas-practicas-farmaindustria_junio_2021.pdf" TargetMode="External"/><Relationship Id="rId158" Type="http://schemas.openxmlformats.org/officeDocument/2006/relationships/hyperlink" Target="https://eur-lex.europa.eu/legal-content/EN/TXT/?uri=celex%3A32005L0029" TargetMode="External"/><Relationship Id="rId20" Type="http://schemas.openxmlformats.org/officeDocument/2006/relationships/hyperlink" Target="https://cmpf.eui.eu/media-pluralism-monitor-2023/" TargetMode="External"/><Relationship Id="rId41" Type="http://schemas.openxmlformats.org/officeDocument/2006/relationships/hyperlink" Target="https://iabspain.es/iab-spain-presenta-la-2a-ola-del-estudio-de-inversion-publicitaria-en-medios-digitales-2023/" TargetMode="External"/><Relationship Id="rId62" Type="http://schemas.openxmlformats.org/officeDocument/2006/relationships/hyperlink" Target="https://www.garrigues.com/es_ES/garrigues-digital/nueva-ley-audiovisual-8-claves" TargetMode="External"/><Relationship Id="rId83" Type="http://schemas.openxmlformats.org/officeDocument/2006/relationships/hyperlink" Target="https://eur-lex.europa.eu/eli/dir/2018/1808/oj" TargetMode="External"/><Relationship Id="rId179" Type="http://schemas.openxmlformats.org/officeDocument/2006/relationships/hyperlink" Target="https://eur-lex.europa.eu/legal-content/EN/TXT/?uri=celex%3A32006L0114" TargetMode="External"/><Relationship Id="rId190" Type="http://schemas.openxmlformats.org/officeDocument/2006/relationships/hyperlink" Target="https://ec.europa.eu/commission/presscorner/detail/en/ip_24_708" TargetMode="External"/><Relationship Id="rId204" Type="http://schemas.openxmlformats.org/officeDocument/2006/relationships/hyperlink" Target="https://eur-lex.europa.eu/legal-content/EN/TXT/?uri=celex%3A32006L0114" TargetMode="External"/><Relationship Id="rId225" Type="http://schemas.openxmlformats.org/officeDocument/2006/relationships/hyperlink" Target="https://www.autocontrol.es/wp-content/uploads/2020/01/anexo-i-nueva-version-codigo-de-juego.pdf" TargetMode="External"/><Relationship Id="rId246" Type="http://schemas.openxmlformats.org/officeDocument/2006/relationships/hyperlink" Target="https://www.boe.es/eli/es/rdlg/2007/11/16/1/con" TargetMode="External"/><Relationship Id="rId267" Type="http://schemas.openxmlformats.org/officeDocument/2006/relationships/hyperlink" Target="https://eur-lex.europa.eu/legal-content/EN/TXT/?uri=CELEX%3A32002L0058&amp;qid=1711734066770" TargetMode="External"/><Relationship Id="rId288" Type="http://schemas.openxmlformats.org/officeDocument/2006/relationships/header" Target="header1.xml"/><Relationship Id="rId106" Type="http://schemas.openxmlformats.org/officeDocument/2006/relationships/hyperlink" Target="https://www.boe.es/eli/es/l/1991/01/10/3/con" TargetMode="External"/><Relationship Id="rId127" Type="http://schemas.openxmlformats.org/officeDocument/2006/relationships/hyperlink" Target="https://www.autocontrol.es/wp-content/uploads/2016/02/c%C2%A2digo-deontol%C2%A2gico-de-buenas-pr%E2%80%A0cticas-comerciales-para-la-promoci%C2%A2n-de-los-productos-dietcticos-infantiles-andi.pdf" TargetMode="External"/><Relationship Id="rId10" Type="http://schemas.openxmlformats.org/officeDocument/2006/relationships/endnotes" Target="endnotes.xml"/><Relationship Id="rId31" Type="http://schemas.openxmlformats.org/officeDocument/2006/relationships/hyperlink" Target="https://www.statista.com/outlook/amo/media/spain" TargetMode="External"/><Relationship Id="rId52" Type="http://schemas.openxmlformats.org/officeDocument/2006/relationships/hyperlink" Target="https://www.boe.es/buscar/act.php?id=BOE-A-2022-11311" TargetMode="External"/><Relationship Id="rId73" Type="http://schemas.openxmlformats.org/officeDocument/2006/relationships/hyperlink" Target="https://www.boe.es/buscar/act.php?id=BOE-A-2002-13758" TargetMode="External"/><Relationship Id="rId94" Type="http://schemas.openxmlformats.org/officeDocument/2006/relationships/hyperlink" Target="https://www.boe.es/buscar/act.php?id=BOE-A-1996-18085" TargetMode="External"/><Relationship Id="rId148" Type="http://schemas.openxmlformats.org/officeDocument/2006/relationships/hyperlink" Target="https://eur-lex.europa.eu/legal-content/EN/TXT/?uri=celex%3A32006L0114" TargetMode="External"/><Relationship Id="rId169" Type="http://schemas.openxmlformats.org/officeDocument/2006/relationships/hyperlink" Target="https://eur-lex.europa.eu/legal-content/EN/TXT/?uri=celex%3A32005L0029" TargetMode="External"/><Relationship Id="rId4" Type="http://schemas.openxmlformats.org/officeDocument/2006/relationships/customXml" Target="../customXml/item4.xml"/><Relationship Id="rId180" Type="http://schemas.openxmlformats.org/officeDocument/2006/relationships/hyperlink" Target="https://eur-lex.europa.eu/legal-content/EN/TXT/?uri=celex%3A32005L0029" TargetMode="External"/><Relationship Id="rId215" Type="http://schemas.openxmlformats.org/officeDocument/2006/relationships/hyperlink" Target="https://www.autocontrol.es/wp-content/uploads/2016/02/c%C2%A2digo-de-autorregulaci%C2%A2n-para-una-comunicaci%C2%A2n-responsable-en-el-sector-de-perfumer%C2%B0a-y-cosmctica-stanpa.pdf" TargetMode="External"/><Relationship Id="rId236" Type="http://schemas.openxmlformats.org/officeDocument/2006/relationships/hyperlink" Target="https://www.boe.es/buscar/act.php?id=BOE-A-2011-11604" TargetMode="External"/><Relationship Id="rId257" Type="http://schemas.openxmlformats.org/officeDocument/2006/relationships/hyperlink" Target="https://www.autocontrol.es/wp-content/uploads/2016/02/c%C2%A2digo-de-autorregulaci%C2%A2n-publicitaria-de-cerveceros-de-espa%C2%A7a-cerveceros.pdf" TargetMode="External"/><Relationship Id="rId278" Type="http://schemas.openxmlformats.org/officeDocument/2006/relationships/hyperlink" Target="https://www.methaodos.org/revista-methaodos/index.php/methaodos/article/view/225" TargetMode="External"/><Relationship Id="rId42" Type="http://schemas.openxmlformats.org/officeDocument/2006/relationships/hyperlink" Target="https://iabspain.es/iab-spain-presenta-la-2a-ola-del-estudio-de-inversion-publicitaria-en-medios-digitales-2023/" TargetMode="External"/><Relationship Id="rId84" Type="http://schemas.openxmlformats.org/officeDocument/2006/relationships/hyperlink" Target="https://eur-lex.europa.eu/legal-content/EN/TXT/?uri=celex%3A32009L0136" TargetMode="External"/><Relationship Id="rId138" Type="http://schemas.openxmlformats.org/officeDocument/2006/relationships/hyperlink" Target="https://e-justice.europa.eu/public_html/index_es.htm" TargetMode="External"/><Relationship Id="rId191" Type="http://schemas.openxmlformats.org/officeDocument/2006/relationships/hyperlink" Target="https://eur-lex.europa.eu/legal-content/EN/TXT/?uri=celex%3A32022R2065" TargetMode="External"/><Relationship Id="rId205" Type="http://schemas.openxmlformats.org/officeDocument/2006/relationships/hyperlink" Target="https://eur-lex.europa.eu/legal-content/EN/TXT/?uri=celex%3A32005L0029" TargetMode="External"/><Relationship Id="rId247" Type="http://schemas.openxmlformats.org/officeDocument/2006/relationships/hyperlink" Target="https://www.boe.es/buscar/doc.php?id=BOE-A-2002-20855" TargetMode="External"/><Relationship Id="rId107" Type="http://schemas.openxmlformats.org/officeDocument/2006/relationships/hyperlink" Target="https://www.autocontrol.es/autocontrol/organizacion/" TargetMode="External"/><Relationship Id="rId289" Type="http://schemas.openxmlformats.org/officeDocument/2006/relationships/footer" Target="footer1.xml"/><Relationship Id="rId11" Type="http://schemas.openxmlformats.org/officeDocument/2006/relationships/image" Target="media/image1.png"/><Relationship Id="rId53" Type="http://schemas.openxmlformats.org/officeDocument/2006/relationships/hyperlink" Target="https://www.xataka.com/legislacion-y-derechos/ley-iceta-lleva-censura-alla-normativa-europea-algoritmos-podran-cortar-streamings-aplicarla-directo" TargetMode="External"/><Relationship Id="rId149" Type="http://schemas.openxmlformats.org/officeDocument/2006/relationships/hyperlink" Target="https://eur-lex.europa.eu/legal-content/EN/TXT/?uri=celex%3A32005L0029" TargetMode="External"/><Relationship Id="rId95" Type="http://schemas.openxmlformats.org/officeDocument/2006/relationships/hyperlink" Target="https://www.boe.es/eli/es/l/2011/07/05/17/con" TargetMode="External"/><Relationship Id="rId160" Type="http://schemas.openxmlformats.org/officeDocument/2006/relationships/hyperlink" Target="https://eur-lex.europa.eu/legal-content/EN/TXT/?uri=celex%3A32005L0029" TargetMode="External"/><Relationship Id="rId216" Type="http://schemas.openxmlformats.org/officeDocument/2006/relationships/hyperlink" Target="https://anefp.org/sites/default/files/2020-07/C%C3%B3digo-normas-deontologicas-anefp-menosreme_may2020_2.pdf" TargetMode="External"/><Relationship Id="rId258" Type="http://schemas.openxmlformats.org/officeDocument/2006/relationships/hyperlink" Target="https://www.cia.gov/the-world-factbook/countries/spain/" TargetMode="External"/><Relationship Id="rId22" Type="http://schemas.openxmlformats.org/officeDocument/2006/relationships/hyperlink" Target="https://cmpf.eui.eu/media-pluralism-monitor-2023/" TargetMode="External"/><Relationship Id="rId64" Type="http://schemas.openxmlformats.org/officeDocument/2006/relationships/hyperlink" Target="https://www.boe.es/diario_boe/txt.php?id=BOE-A-2022-11311" TargetMode="External"/><Relationship Id="rId118" Type="http://schemas.openxmlformats.org/officeDocument/2006/relationships/hyperlink" Target="https://www.confianzaonline.es/doc/codigo_etico_confianzaonline.pdf" TargetMode="External"/><Relationship Id="rId171" Type="http://schemas.openxmlformats.org/officeDocument/2006/relationships/hyperlink" Target="https://www.boe.es/buscar/act.php?id=BOE-A-2022-11311" TargetMode="External"/><Relationship Id="rId227" Type="http://schemas.openxmlformats.org/officeDocument/2006/relationships/hyperlink" Target="https://www.autocontrol.es/wp-content/uploads/2016/02/c%C2%A2digo-paos.pdf"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918320-8061-431F-9E86-3883072EC4C3}">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2.xml><?xml version="1.0" encoding="utf-8"?>
<ds:datastoreItem xmlns:ds="http://schemas.openxmlformats.org/officeDocument/2006/customXml" ds:itemID="{295644FE-545F-4023-8740-B9379A55A1E8}">
  <ds:schemaRefs>
    <ds:schemaRef ds:uri="http://schemas.openxmlformats.org/officeDocument/2006/bibliography"/>
  </ds:schemaRefs>
</ds:datastoreItem>
</file>

<file path=customXml/itemProps3.xml><?xml version="1.0" encoding="utf-8"?>
<ds:datastoreItem xmlns:ds="http://schemas.openxmlformats.org/officeDocument/2006/customXml" ds:itemID="{987DB758-3B08-4E38-BD6C-E91EFC7D7D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0DFDA3-D75A-4C93-B3C9-1399BFD4BB4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.~WRD0002</Template>
  <TotalTime>1</TotalTime>
  <Pages>56</Pages>
  <Words>24233</Words>
  <Characters>138130</Characters>
  <Application>Microsoft Office Word</Application>
  <DocSecurity>0</DocSecurity>
  <Lines>1151</Lines>
  <Paragraphs>324</Paragraphs>
  <ScaleCrop>false</ScaleCrop>
  <Company/>
  <LinksUpToDate>false</LinksUpToDate>
  <CharactersWithSpaces>162039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Francesca Ceconi</dc:creator>
  <cp:lastModifiedBy>Jonathan Hardy</cp:lastModifiedBy>
  <cp:revision>3</cp:revision>
  <cp:lastPrinted>2024-05-13T12:36:00Z</cp:lastPrinted>
  <dcterms:created xsi:type="dcterms:W3CDTF">2024-06-24T14:46:00Z</dcterms:created>
  <dcterms:modified xsi:type="dcterms:W3CDTF">2024-06-25T15:49:00Z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