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D5095D" w:rsidRDefault="0050499D" w:rsidP="0051403E">
      <w:pPr>
        <w:spacing w:after="0"/>
      </w:pPr>
      <w:r w:rsidRPr="00D5095D">
        <w:rPr>
          <w:b/>
          <w:bCs/>
          <w:noProof/>
        </w:rPr>
        <w:drawing>
          <wp:anchor distT="0" distB="0" distL="114300" distR="114300" simplePos="0" relativeHeight="251658240" behindDoc="1" locked="1" layoutInCell="1" allowOverlap="1" wp14:anchorId="73799FE7" wp14:editId="6395B741">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648A6464" w:rsidR="00203503" w:rsidRPr="00D5095D" w:rsidRDefault="00393CCE" w:rsidP="008C6F9B">
      <w:pPr>
        <w:pStyle w:val="Country"/>
      </w:pPr>
      <w:r w:rsidRPr="00D5095D">
        <w:t>Latvia</w:t>
      </w:r>
      <w:r w:rsidR="00203503" w:rsidRPr="00D5095D">
        <w:rPr>
          <w:rStyle w:val="CountryChar"/>
          <w:b/>
          <w:bCs/>
        </w:rPr>
        <w:t xml:space="preserve"> | </w:t>
      </w:r>
      <w:r w:rsidRPr="00D5095D">
        <w:t>June 2024</w:t>
      </w:r>
    </w:p>
    <w:p w14:paraId="4E728DFF" w14:textId="77777777" w:rsidR="0050499D" w:rsidRPr="00D5095D"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D5095D"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D5095D" w:rsidRDefault="0050499D" w:rsidP="00345D57">
      <w:pPr>
        <w:pStyle w:val="Coverheader"/>
        <w:spacing w:before="120" w:after="120"/>
        <w:rPr>
          <w:i/>
          <w:iCs/>
        </w:rPr>
      </w:pPr>
      <w:r w:rsidRPr="00D5095D">
        <w:t>Branded Content</w:t>
      </w:r>
      <w:r w:rsidRPr="00D5095D">
        <w:tab/>
      </w:r>
    </w:p>
    <w:p w14:paraId="77A98E8B" w14:textId="1084C456" w:rsidR="0050499D" w:rsidRPr="00D5095D" w:rsidRDefault="0050499D" w:rsidP="00345D57">
      <w:pPr>
        <w:pStyle w:val="Coverheader"/>
        <w:spacing w:before="120" w:after="120"/>
        <w:rPr>
          <w:i/>
          <w:iCs/>
        </w:rPr>
      </w:pPr>
      <w:r w:rsidRPr="00D5095D">
        <w:t>Governance</w:t>
      </w:r>
      <w:r w:rsidR="00345D57" w:rsidRPr="00D5095D">
        <w:rPr>
          <w:i/>
          <w:iCs/>
        </w:rPr>
        <w:t xml:space="preserve"> </w:t>
      </w:r>
      <w:r w:rsidRPr="00D5095D">
        <w:t>Project</w:t>
      </w:r>
    </w:p>
    <w:p w14:paraId="4F0820FB" w14:textId="77777777" w:rsidR="0050499D" w:rsidRPr="00D5095D" w:rsidRDefault="0050499D" w:rsidP="0050499D">
      <w:pPr>
        <w:pStyle w:val="Coversubtitle"/>
        <w:ind w:left="0"/>
      </w:pPr>
    </w:p>
    <w:p w14:paraId="6533C830" w14:textId="77777777" w:rsidR="0050499D" w:rsidRPr="00D5095D" w:rsidRDefault="0050499D" w:rsidP="0050499D">
      <w:pPr>
        <w:pStyle w:val="Coversubtitle"/>
        <w:ind w:left="0"/>
      </w:pPr>
    </w:p>
    <w:p w14:paraId="576AAD42" w14:textId="77777777" w:rsidR="0050499D" w:rsidRPr="00D5095D" w:rsidRDefault="0050499D" w:rsidP="0050499D">
      <w:pPr>
        <w:pStyle w:val="Coversubtitle"/>
        <w:ind w:left="0"/>
      </w:pPr>
    </w:p>
    <w:p w14:paraId="40BBF1A5" w14:textId="77777777" w:rsidR="0050499D" w:rsidRPr="00D5095D" w:rsidRDefault="0050499D" w:rsidP="0050499D"/>
    <w:p w14:paraId="6DFA1317" w14:textId="5B345988" w:rsidR="0038594D" w:rsidRPr="00D5095D" w:rsidRDefault="00CB5035" w:rsidP="008146FD">
      <w:r w:rsidRPr="00D5095D">
        <w:br w:type="page"/>
      </w:r>
    </w:p>
    <w:p w14:paraId="0255F411" w14:textId="77777777" w:rsidR="001D3882" w:rsidRPr="007A32B3" w:rsidRDefault="001D3882" w:rsidP="001D3882">
      <w:pPr>
        <w:pStyle w:val="SectionHead"/>
        <w:numPr>
          <w:ilvl w:val="0"/>
          <w:numId w:val="0"/>
        </w:numPr>
      </w:pPr>
      <w:bookmarkStart w:id="0" w:name="_Toc170216086"/>
      <w:r w:rsidRPr="007A32B3">
        <w:lastRenderedPageBreak/>
        <w:t>Contents</w:t>
      </w:r>
      <w:bookmarkEnd w:id="0"/>
    </w:p>
    <w:p w14:paraId="07C48534" w14:textId="77777777" w:rsidR="001D3882" w:rsidRDefault="001D3882" w:rsidP="00011AD0">
      <w:pPr>
        <w:pStyle w:val="TOC1"/>
        <w:tabs>
          <w:tab w:val="right" w:leader="underscore" w:pos="10456"/>
        </w:tabs>
        <w:spacing w:line="360" w:lineRule="auto"/>
      </w:pPr>
    </w:p>
    <w:p w14:paraId="1E469F7D" w14:textId="0C102ADD" w:rsidR="00011AD0" w:rsidRPr="00011AD0" w:rsidRDefault="001D3882" w:rsidP="00011AD0">
      <w:pPr>
        <w:pStyle w:val="TOC1"/>
        <w:tabs>
          <w:tab w:val="right" w:leader="underscore" w:pos="10456"/>
        </w:tabs>
        <w:spacing w:line="360" w:lineRule="auto"/>
        <w:rPr>
          <w:rFonts w:eastAsiaTheme="minorEastAsia" w:cstheme="minorBidi"/>
          <w:b w:val="0"/>
          <w:bCs w:val="0"/>
          <w:i w:val="0"/>
          <w:iCs w:val="0"/>
          <w:noProof/>
          <w:kern w:val="2"/>
          <w:lang w:eastAsia="en-GB"/>
          <w14:ligatures w14:val="standardContextual"/>
        </w:rPr>
      </w:pPr>
      <w:r w:rsidRPr="00011AD0">
        <w:rPr>
          <w:i w:val="0"/>
          <w:iCs w:val="0"/>
        </w:rPr>
        <w:fldChar w:fldCharType="begin"/>
      </w:r>
      <w:r w:rsidRPr="00011AD0">
        <w:rPr>
          <w:i w:val="0"/>
          <w:iCs w:val="0"/>
        </w:rPr>
        <w:instrText xml:space="preserve"> TOC \h \z \t "Style2,2,Section Head,1" </w:instrText>
      </w:r>
      <w:r w:rsidRPr="00011AD0">
        <w:rPr>
          <w:i w:val="0"/>
          <w:iCs w:val="0"/>
        </w:rPr>
        <w:fldChar w:fldCharType="separate"/>
      </w:r>
      <w:hyperlink w:anchor="_Toc170216086" w:history="1">
        <w:r w:rsidR="00011AD0" w:rsidRPr="00011AD0">
          <w:rPr>
            <w:rStyle w:val="Hyperlink"/>
            <w:i w:val="0"/>
            <w:iCs w:val="0"/>
            <w:noProof/>
          </w:rPr>
          <w:t>Contents</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_Toc170216086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w:t>
        </w:r>
        <w:r w:rsidR="00011AD0" w:rsidRPr="00011AD0">
          <w:rPr>
            <w:i w:val="0"/>
            <w:iCs w:val="0"/>
            <w:noProof/>
            <w:webHidden/>
          </w:rPr>
          <w:fldChar w:fldCharType="end"/>
        </w:r>
      </w:hyperlink>
    </w:p>
    <w:p w14:paraId="16614C7D" w14:textId="374B367C" w:rsidR="00011AD0" w:rsidRPr="00011AD0" w:rsidRDefault="00000000" w:rsidP="00011AD0">
      <w:pPr>
        <w:pStyle w:val="TOC1"/>
        <w:tabs>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87" w:history="1">
        <w:r w:rsidR="00011AD0" w:rsidRPr="00011AD0">
          <w:rPr>
            <w:rStyle w:val="Hyperlink"/>
            <w:i w:val="0"/>
            <w:iCs w:val="0"/>
            <w:noProof/>
          </w:rPr>
          <w:t>Introduction</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_Toc170216087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3</w:t>
        </w:r>
        <w:r w:rsidR="00011AD0" w:rsidRPr="00011AD0">
          <w:rPr>
            <w:i w:val="0"/>
            <w:iCs w:val="0"/>
            <w:noProof/>
            <w:webHidden/>
          </w:rPr>
          <w:fldChar w:fldCharType="end"/>
        </w:r>
      </w:hyperlink>
    </w:p>
    <w:p w14:paraId="2DC0153A" w14:textId="23FA4591"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88" w:history="1">
        <w:r w:rsidR="00011AD0" w:rsidRPr="00011AD0">
          <w:rPr>
            <w:rStyle w:val="Hyperlink"/>
            <w:i w:val="0"/>
            <w:iCs w:val="0"/>
            <w:noProof/>
          </w:rPr>
          <w:t>1.</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Country Data</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_Toc170216088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4</w:t>
        </w:r>
        <w:r w:rsidR="00011AD0" w:rsidRPr="00011AD0">
          <w:rPr>
            <w:i w:val="0"/>
            <w:iCs w:val="0"/>
            <w:noProof/>
            <w:webHidden/>
          </w:rPr>
          <w:fldChar w:fldCharType="end"/>
        </w:r>
      </w:hyperlink>
    </w:p>
    <w:p w14:paraId="3CFB264A" w14:textId="3D8759B7"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89" w:history="1">
        <w:r w:rsidR="00011AD0" w:rsidRPr="00011AD0">
          <w:rPr>
            <w:rStyle w:val="Hyperlink"/>
            <w:i w:val="0"/>
            <w:iCs w:val="0"/>
            <w:noProof/>
          </w:rPr>
          <w:t>2.</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Media System; Media and Advertising Markets</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_Toc170216089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4</w:t>
        </w:r>
        <w:r w:rsidR="00011AD0" w:rsidRPr="00011AD0">
          <w:rPr>
            <w:i w:val="0"/>
            <w:iCs w:val="0"/>
            <w:noProof/>
            <w:webHidden/>
          </w:rPr>
          <w:fldChar w:fldCharType="end"/>
        </w:r>
      </w:hyperlink>
    </w:p>
    <w:p w14:paraId="09F8C505" w14:textId="2E56CA4C"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0" w:history="1">
        <w:r w:rsidR="00011AD0" w:rsidRPr="00011AD0">
          <w:rPr>
            <w:rStyle w:val="Hyperlink"/>
            <w:i w:val="0"/>
            <w:iCs w:val="0"/>
            <w:noProof/>
          </w:rPr>
          <w:t>3.</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Communications: Legal and Regulatory Framework</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_Toc170216090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6</w:t>
        </w:r>
        <w:r w:rsidR="00011AD0" w:rsidRPr="00011AD0">
          <w:rPr>
            <w:i w:val="0"/>
            <w:iCs w:val="0"/>
            <w:noProof/>
            <w:webHidden/>
          </w:rPr>
          <w:fldChar w:fldCharType="end"/>
        </w:r>
      </w:hyperlink>
    </w:p>
    <w:p w14:paraId="27AB0604" w14:textId="40A3D85B"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1" w:history="1">
        <w:r w:rsidR="00011AD0" w:rsidRPr="00011AD0">
          <w:rPr>
            <w:rStyle w:val="Hyperlink"/>
            <w:i w:val="0"/>
            <w:iCs w:val="0"/>
            <w:noProof/>
          </w:rPr>
          <w:t>4.</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Advertising:  Legal and Regulatory Framework</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_Toc170216091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8</w:t>
        </w:r>
        <w:r w:rsidR="00011AD0" w:rsidRPr="00011AD0">
          <w:rPr>
            <w:i w:val="0"/>
            <w:iCs w:val="0"/>
            <w:noProof/>
            <w:webHidden/>
          </w:rPr>
          <w:fldChar w:fldCharType="end"/>
        </w:r>
      </w:hyperlink>
    </w:p>
    <w:p w14:paraId="67129FF1" w14:textId="2544865B"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2" w:history="1">
        <w:r w:rsidR="00011AD0" w:rsidRPr="00011AD0">
          <w:rPr>
            <w:rStyle w:val="Hyperlink"/>
            <w:i w:val="0"/>
            <w:iCs w:val="0"/>
            <w:noProof/>
          </w:rPr>
          <w:t>5.</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Advertising:  Self-regulation</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_Toc170216092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11</w:t>
        </w:r>
        <w:r w:rsidR="00011AD0" w:rsidRPr="00011AD0">
          <w:rPr>
            <w:i w:val="0"/>
            <w:iCs w:val="0"/>
            <w:noProof/>
            <w:webHidden/>
          </w:rPr>
          <w:fldChar w:fldCharType="end"/>
        </w:r>
      </w:hyperlink>
    </w:p>
    <w:p w14:paraId="508ECE3F" w14:textId="3C6592DA"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3" w:history="1">
        <w:r w:rsidR="00011AD0" w:rsidRPr="00011AD0">
          <w:rPr>
            <w:rStyle w:val="Hyperlink"/>
            <w:i w:val="0"/>
            <w:iCs w:val="0"/>
            <w:noProof/>
          </w:rPr>
          <w:t>6.</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Branded Content: General legal and regulatory framework</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_Toc170216093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17</w:t>
        </w:r>
        <w:r w:rsidR="00011AD0" w:rsidRPr="00011AD0">
          <w:rPr>
            <w:i w:val="0"/>
            <w:iCs w:val="0"/>
            <w:noProof/>
            <w:webHidden/>
          </w:rPr>
          <w:fldChar w:fldCharType="end"/>
        </w:r>
      </w:hyperlink>
    </w:p>
    <w:p w14:paraId="118B1DBB" w14:textId="68E231EE"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4" w:history="1">
        <w:r w:rsidR="00011AD0" w:rsidRPr="00011AD0">
          <w:rPr>
            <w:rStyle w:val="Hyperlink"/>
            <w:i w:val="0"/>
            <w:iCs w:val="0"/>
            <w:noProof/>
          </w:rPr>
          <w:t>7.</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Publishing</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_Toc170216094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19</w:t>
        </w:r>
        <w:r w:rsidR="00011AD0" w:rsidRPr="00011AD0">
          <w:rPr>
            <w:i w:val="0"/>
            <w:iCs w:val="0"/>
            <w:noProof/>
            <w:webHidden/>
          </w:rPr>
          <w:fldChar w:fldCharType="end"/>
        </w:r>
      </w:hyperlink>
    </w:p>
    <w:p w14:paraId="2100566B" w14:textId="30F5D037"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5" w:history="1">
        <w:r w:rsidR="00011AD0" w:rsidRPr="00011AD0">
          <w:rPr>
            <w:rStyle w:val="Hyperlink"/>
            <w:i w:val="0"/>
            <w:iCs w:val="0"/>
            <w:noProof/>
          </w:rPr>
          <w:t>8.</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Audiovisual</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_Toc170216095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20</w:t>
        </w:r>
        <w:r w:rsidR="00011AD0" w:rsidRPr="00011AD0">
          <w:rPr>
            <w:i w:val="0"/>
            <w:iCs w:val="0"/>
            <w:noProof/>
            <w:webHidden/>
          </w:rPr>
          <w:fldChar w:fldCharType="end"/>
        </w:r>
      </w:hyperlink>
    </w:p>
    <w:p w14:paraId="2500054A" w14:textId="41BC9616"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6" w:history="1">
        <w:r w:rsidR="00011AD0" w:rsidRPr="00011AD0">
          <w:rPr>
            <w:rStyle w:val="Hyperlink"/>
            <w:i w:val="0"/>
            <w:iCs w:val="0"/>
            <w:noProof/>
          </w:rPr>
          <w:t>9.</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Audio</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_Toc170216096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21</w:t>
        </w:r>
        <w:r w:rsidR="00011AD0" w:rsidRPr="00011AD0">
          <w:rPr>
            <w:i w:val="0"/>
            <w:iCs w:val="0"/>
            <w:noProof/>
            <w:webHidden/>
          </w:rPr>
          <w:fldChar w:fldCharType="end"/>
        </w:r>
      </w:hyperlink>
    </w:p>
    <w:p w14:paraId="0CD7A720" w14:textId="417C7BB6"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7" w:history="1">
        <w:r w:rsidR="00011AD0" w:rsidRPr="00011AD0">
          <w:rPr>
            <w:rStyle w:val="Hyperlink"/>
            <w:i w:val="0"/>
            <w:iCs w:val="0"/>
            <w:noProof/>
          </w:rPr>
          <w:t>10.</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Digital Media (online advertising and adtech)</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_Toc170216097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21</w:t>
        </w:r>
        <w:r w:rsidR="00011AD0" w:rsidRPr="00011AD0">
          <w:rPr>
            <w:i w:val="0"/>
            <w:iCs w:val="0"/>
            <w:noProof/>
            <w:webHidden/>
          </w:rPr>
          <w:fldChar w:fldCharType="end"/>
        </w:r>
      </w:hyperlink>
    </w:p>
    <w:p w14:paraId="483335CA" w14:textId="1213412A"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8" w:history="1">
        <w:r w:rsidR="00011AD0" w:rsidRPr="00011AD0">
          <w:rPr>
            <w:rStyle w:val="Hyperlink"/>
            <w:i w:val="0"/>
            <w:iCs w:val="0"/>
            <w:noProof/>
          </w:rPr>
          <w:t>11.</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Social Media Marketing</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_Toc170216098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23</w:t>
        </w:r>
        <w:r w:rsidR="00011AD0" w:rsidRPr="00011AD0">
          <w:rPr>
            <w:i w:val="0"/>
            <w:iCs w:val="0"/>
            <w:noProof/>
            <w:webHidden/>
          </w:rPr>
          <w:fldChar w:fldCharType="end"/>
        </w:r>
      </w:hyperlink>
    </w:p>
    <w:p w14:paraId="6FA364F1" w14:textId="4FBF2B0E"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099" w:history="1">
        <w:r w:rsidR="00011AD0" w:rsidRPr="00011AD0">
          <w:rPr>
            <w:rStyle w:val="Hyperlink"/>
            <w:i w:val="0"/>
            <w:iCs w:val="0"/>
            <w:noProof/>
          </w:rPr>
          <w:t>12.</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Outdoor</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_Toc170216099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24</w:t>
        </w:r>
        <w:r w:rsidR="00011AD0" w:rsidRPr="00011AD0">
          <w:rPr>
            <w:i w:val="0"/>
            <w:iCs w:val="0"/>
            <w:noProof/>
            <w:webHidden/>
          </w:rPr>
          <w:fldChar w:fldCharType="end"/>
        </w:r>
      </w:hyperlink>
    </w:p>
    <w:p w14:paraId="6A64543B" w14:textId="765925CC"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100" w:history="1">
        <w:r w:rsidR="00011AD0" w:rsidRPr="00011AD0">
          <w:rPr>
            <w:rStyle w:val="Hyperlink"/>
            <w:i w:val="0"/>
            <w:iCs w:val="0"/>
            <w:noProof/>
          </w:rPr>
          <w:t>13.</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Experiential</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_Toc170216100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24</w:t>
        </w:r>
        <w:r w:rsidR="00011AD0" w:rsidRPr="00011AD0">
          <w:rPr>
            <w:i w:val="0"/>
            <w:iCs w:val="0"/>
            <w:noProof/>
            <w:webHidden/>
          </w:rPr>
          <w:fldChar w:fldCharType="end"/>
        </w:r>
      </w:hyperlink>
    </w:p>
    <w:p w14:paraId="26003DD1" w14:textId="4C35530F"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101" w:history="1">
        <w:r w:rsidR="00011AD0" w:rsidRPr="00011AD0">
          <w:rPr>
            <w:rStyle w:val="Hyperlink"/>
            <w:i w:val="0"/>
            <w:iCs w:val="0"/>
            <w:noProof/>
          </w:rPr>
          <w:t>14.</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Other</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_Toc170216101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25</w:t>
        </w:r>
        <w:r w:rsidR="00011AD0" w:rsidRPr="00011AD0">
          <w:rPr>
            <w:i w:val="0"/>
            <w:iCs w:val="0"/>
            <w:noProof/>
            <w:webHidden/>
          </w:rPr>
          <w:fldChar w:fldCharType="end"/>
        </w:r>
      </w:hyperlink>
    </w:p>
    <w:p w14:paraId="7250415B" w14:textId="3C7641A4"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102" w:history="1">
        <w:r w:rsidR="00011AD0" w:rsidRPr="00011AD0">
          <w:rPr>
            <w:rStyle w:val="Hyperlink"/>
            <w:i w:val="0"/>
            <w:iCs w:val="0"/>
            <w:noProof/>
          </w:rPr>
          <w:t>15.</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Convergence</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_Toc170216102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25</w:t>
        </w:r>
        <w:r w:rsidR="00011AD0" w:rsidRPr="00011AD0">
          <w:rPr>
            <w:i w:val="0"/>
            <w:iCs w:val="0"/>
            <w:noProof/>
            <w:webHidden/>
          </w:rPr>
          <w:fldChar w:fldCharType="end"/>
        </w:r>
      </w:hyperlink>
    </w:p>
    <w:p w14:paraId="0BE83660" w14:textId="1FC102C7" w:rsidR="00011AD0" w:rsidRPr="00011AD0" w:rsidRDefault="00000000" w:rsidP="00011AD0">
      <w:pPr>
        <w:pStyle w:val="TOC1"/>
        <w:tabs>
          <w:tab w:val="left" w:pos="660"/>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103" w:history="1">
        <w:r w:rsidR="00011AD0" w:rsidRPr="00011AD0">
          <w:rPr>
            <w:rStyle w:val="Hyperlink"/>
            <w:i w:val="0"/>
            <w:iCs w:val="0"/>
            <w:noProof/>
          </w:rPr>
          <w:t>16.</w:t>
        </w:r>
        <w:r w:rsidR="00011AD0" w:rsidRPr="00011AD0">
          <w:rPr>
            <w:rFonts w:eastAsiaTheme="minorEastAsia" w:cstheme="minorBidi"/>
            <w:b w:val="0"/>
            <w:bCs w:val="0"/>
            <w:i w:val="0"/>
            <w:iCs w:val="0"/>
            <w:noProof/>
            <w:kern w:val="2"/>
            <w:lang w:eastAsia="en-GB"/>
            <w14:ligatures w14:val="standardContextual"/>
          </w:rPr>
          <w:tab/>
        </w:r>
        <w:r w:rsidR="00011AD0" w:rsidRPr="00011AD0">
          <w:rPr>
            <w:rStyle w:val="Hyperlink"/>
            <w:i w:val="0"/>
            <w:iCs w:val="0"/>
            <w:noProof/>
          </w:rPr>
          <w:t>Analysis and Evaluation</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_Toc170216103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26</w:t>
        </w:r>
        <w:r w:rsidR="00011AD0" w:rsidRPr="00011AD0">
          <w:rPr>
            <w:i w:val="0"/>
            <w:iCs w:val="0"/>
            <w:noProof/>
            <w:webHidden/>
          </w:rPr>
          <w:fldChar w:fldCharType="end"/>
        </w:r>
      </w:hyperlink>
    </w:p>
    <w:p w14:paraId="667AAD28" w14:textId="5EC6C112" w:rsidR="00011AD0" w:rsidRPr="00011AD0" w:rsidRDefault="00000000" w:rsidP="00011AD0">
      <w:pPr>
        <w:pStyle w:val="TOC1"/>
        <w:tabs>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104" w:history="1">
        <w:r w:rsidR="00011AD0" w:rsidRPr="00011AD0">
          <w:rPr>
            <w:rStyle w:val="Hyperlink"/>
            <w:i w:val="0"/>
            <w:iCs w:val="0"/>
            <w:noProof/>
          </w:rPr>
          <w:t>Authorship and Acknowledgements</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_Toc170216104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28</w:t>
        </w:r>
        <w:r w:rsidR="00011AD0" w:rsidRPr="00011AD0">
          <w:rPr>
            <w:i w:val="0"/>
            <w:iCs w:val="0"/>
            <w:noProof/>
            <w:webHidden/>
          </w:rPr>
          <w:fldChar w:fldCharType="end"/>
        </w:r>
      </w:hyperlink>
    </w:p>
    <w:p w14:paraId="0B51BEC9" w14:textId="6C329A2E" w:rsidR="00011AD0" w:rsidRPr="00011AD0" w:rsidRDefault="00000000" w:rsidP="00011AD0">
      <w:pPr>
        <w:pStyle w:val="TOC1"/>
        <w:tabs>
          <w:tab w:val="right" w:leader="underscore" w:pos="10456"/>
        </w:tabs>
        <w:spacing w:line="360" w:lineRule="auto"/>
        <w:rPr>
          <w:rFonts w:eastAsiaTheme="minorEastAsia" w:cstheme="minorBidi"/>
          <w:b w:val="0"/>
          <w:bCs w:val="0"/>
          <w:i w:val="0"/>
          <w:iCs w:val="0"/>
          <w:noProof/>
          <w:kern w:val="2"/>
          <w:lang w:eastAsia="en-GB"/>
          <w14:ligatures w14:val="standardContextual"/>
        </w:rPr>
      </w:pPr>
      <w:hyperlink w:anchor="_Toc170216105" w:history="1">
        <w:r w:rsidR="00011AD0" w:rsidRPr="00011AD0">
          <w:rPr>
            <w:rStyle w:val="Hyperlink"/>
            <w:i w:val="0"/>
            <w:iCs w:val="0"/>
            <w:noProof/>
          </w:rPr>
          <w:t>References</w:t>
        </w:r>
        <w:r w:rsidR="00011AD0" w:rsidRPr="00011AD0">
          <w:rPr>
            <w:i w:val="0"/>
            <w:iCs w:val="0"/>
            <w:noProof/>
            <w:webHidden/>
          </w:rPr>
          <w:tab/>
        </w:r>
        <w:r w:rsidR="00011AD0" w:rsidRPr="00011AD0">
          <w:rPr>
            <w:i w:val="0"/>
            <w:iCs w:val="0"/>
            <w:noProof/>
            <w:webHidden/>
          </w:rPr>
          <w:fldChar w:fldCharType="begin"/>
        </w:r>
        <w:r w:rsidR="00011AD0" w:rsidRPr="00011AD0">
          <w:rPr>
            <w:i w:val="0"/>
            <w:iCs w:val="0"/>
            <w:noProof/>
            <w:webHidden/>
          </w:rPr>
          <w:instrText xml:space="preserve"> PAGEREF _Toc170216105 \h </w:instrText>
        </w:r>
        <w:r w:rsidR="00011AD0" w:rsidRPr="00011AD0">
          <w:rPr>
            <w:i w:val="0"/>
            <w:iCs w:val="0"/>
            <w:noProof/>
            <w:webHidden/>
          </w:rPr>
        </w:r>
        <w:r w:rsidR="00011AD0" w:rsidRPr="00011AD0">
          <w:rPr>
            <w:i w:val="0"/>
            <w:iCs w:val="0"/>
            <w:noProof/>
            <w:webHidden/>
          </w:rPr>
          <w:fldChar w:fldCharType="separate"/>
        </w:r>
        <w:r w:rsidR="00011AD0" w:rsidRPr="00011AD0">
          <w:rPr>
            <w:i w:val="0"/>
            <w:iCs w:val="0"/>
            <w:noProof/>
            <w:webHidden/>
          </w:rPr>
          <w:t>29</w:t>
        </w:r>
        <w:r w:rsidR="00011AD0" w:rsidRPr="00011AD0">
          <w:rPr>
            <w:i w:val="0"/>
            <w:iCs w:val="0"/>
            <w:noProof/>
            <w:webHidden/>
          </w:rPr>
          <w:fldChar w:fldCharType="end"/>
        </w:r>
      </w:hyperlink>
    </w:p>
    <w:p w14:paraId="46AE695B" w14:textId="5A10E408" w:rsidR="001D3882" w:rsidRPr="00011AD0" w:rsidRDefault="001D3882" w:rsidP="00011AD0">
      <w:pPr>
        <w:pStyle w:val="SubtitleH2"/>
        <w:spacing w:line="360" w:lineRule="auto"/>
      </w:pPr>
      <w:r w:rsidRPr="00011AD0">
        <w:fldChar w:fldCharType="end"/>
      </w:r>
    </w:p>
    <w:p w14:paraId="2C0CA33F" w14:textId="77777777" w:rsidR="001D3882" w:rsidRDefault="001D3882" w:rsidP="001D3882">
      <w:pPr>
        <w:pStyle w:val="SubtitleH2"/>
      </w:pPr>
    </w:p>
    <w:p w14:paraId="1EFA1476" w14:textId="77777777" w:rsidR="00011AD0" w:rsidRDefault="00011AD0" w:rsidP="00011AD0">
      <w:pPr>
        <w:pStyle w:val="SectionHead"/>
        <w:numPr>
          <w:ilvl w:val="0"/>
          <w:numId w:val="0"/>
        </w:numPr>
      </w:pPr>
      <w:bookmarkStart w:id="1" w:name="_Toc169692774"/>
      <w:bookmarkStart w:id="2" w:name="_Toc169768305"/>
      <w:bookmarkStart w:id="3" w:name="_Toc170216087"/>
      <w:r w:rsidRPr="00E74877">
        <w:lastRenderedPageBreak/>
        <w:t>Introduction</w:t>
      </w:r>
      <w:bookmarkEnd w:id="1"/>
      <w:bookmarkEnd w:id="2"/>
      <w:bookmarkEnd w:id="3"/>
    </w:p>
    <w:p w14:paraId="7AEFB2A1" w14:textId="77777777" w:rsidR="00011AD0" w:rsidRDefault="00011AD0" w:rsidP="00011AD0"/>
    <w:p w14:paraId="58A4BA6E" w14:textId="77777777" w:rsidR="00011AD0" w:rsidRDefault="00011AD0" w:rsidP="00011AD0">
      <w:r>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4290F630" w14:textId="77777777" w:rsidR="00011AD0" w:rsidRDefault="00011AD0" w:rsidP="00011AD0">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4E415C50" w14:textId="77777777" w:rsidR="00011AD0" w:rsidRDefault="00011AD0" w:rsidP="00011AD0">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3C7F50D7" w14:textId="77777777" w:rsidR="00011AD0" w:rsidRDefault="00011AD0" w:rsidP="00011AD0">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7B4D1188" w14:textId="19C2C273" w:rsidR="00011AD0" w:rsidRDefault="00011AD0" w:rsidP="00011AD0">
      <w:pPr>
        <w:rPr>
          <w:rFonts w:ascii="Helvetica Neue" w:hAnsi="Helvetica Neue"/>
        </w:rPr>
      </w:pPr>
      <w:r w:rsidRPr="6CADB27D">
        <w:rPr>
          <w:rFonts w:ascii="Helvetica Neue" w:hAnsi="Helvetica Neue"/>
        </w:rPr>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56A68EE8" w14:textId="77777777" w:rsidR="00011AD0" w:rsidRDefault="00011AD0" w:rsidP="00011AD0">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4C3B6E0F" w14:textId="77777777" w:rsidR="00011AD0" w:rsidRDefault="00011AD0">
      <w:pPr>
        <w:rPr>
          <w:rFonts w:eastAsia="Times New Roman"/>
          <w:b/>
          <w:bCs/>
          <w:color w:val="767171"/>
          <w:sz w:val="36"/>
          <w:szCs w:val="36"/>
          <w:shd w:val="clear" w:color="auto" w:fill="FFFFFF"/>
        </w:rPr>
      </w:pPr>
      <w:r>
        <w:br w:type="page"/>
      </w:r>
    </w:p>
    <w:p w14:paraId="1474A564" w14:textId="27E9B7C3" w:rsidR="00FD6CC1" w:rsidRPr="00D5095D" w:rsidRDefault="00FD6CC1" w:rsidP="00FD6CC1">
      <w:pPr>
        <w:pStyle w:val="SubtitleH2"/>
      </w:pPr>
      <w:r w:rsidRPr="00D5095D">
        <w:lastRenderedPageBreak/>
        <w:t>Sections 1-3: Media System</w:t>
      </w:r>
    </w:p>
    <w:p w14:paraId="1C50AA3E" w14:textId="77777777" w:rsidR="005A06EA" w:rsidRPr="00D5095D" w:rsidRDefault="005A06EA" w:rsidP="005A06EA">
      <w:pPr>
        <w:pStyle w:val="SectionHead"/>
        <w:rPr>
          <w:rFonts w:cs="Arial"/>
        </w:rPr>
      </w:pPr>
      <w:bookmarkStart w:id="4" w:name="_Toc170216088"/>
      <w:r w:rsidRPr="00D5095D">
        <w:rPr>
          <w:rFonts w:cs="Arial"/>
        </w:rPr>
        <w:t>Country Data</w:t>
      </w:r>
      <w:bookmarkEnd w:id="4"/>
      <w:r w:rsidRPr="00D5095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D5095D"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D5095D" w:rsidRDefault="00FE5BD4" w:rsidP="00CB46D4">
            <w:pPr>
              <w:pStyle w:val="Tableheadings"/>
              <w:spacing w:line="240" w:lineRule="auto"/>
              <w:rPr>
                <w:b/>
                <w:bCs/>
              </w:rPr>
            </w:pPr>
            <w:r w:rsidRPr="00D5095D">
              <w:rPr>
                <w:b/>
                <w:bCs/>
              </w:rPr>
              <w:t>Item</w:t>
            </w:r>
          </w:p>
        </w:tc>
        <w:tc>
          <w:tcPr>
            <w:tcW w:w="2126" w:type="dxa"/>
            <w:tcBorders>
              <w:bottom w:val="none" w:sz="0" w:space="0" w:color="auto"/>
            </w:tcBorders>
          </w:tcPr>
          <w:p w14:paraId="40C66F0C" w14:textId="77777777" w:rsidR="00FE5BD4" w:rsidRPr="00D5095D"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179F01BE" w14:textId="77777777" w:rsidR="00FE5BD4" w:rsidRPr="00D5095D"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D5095D">
              <w:rPr>
                <w:b/>
                <w:bCs/>
              </w:rPr>
              <w:t xml:space="preserve">Classification </w:t>
            </w:r>
          </w:p>
        </w:tc>
        <w:tc>
          <w:tcPr>
            <w:tcW w:w="5670" w:type="dxa"/>
            <w:tcBorders>
              <w:bottom w:val="none" w:sz="0" w:space="0" w:color="auto"/>
            </w:tcBorders>
          </w:tcPr>
          <w:p w14:paraId="4A129C75" w14:textId="77777777" w:rsidR="00FE5BD4" w:rsidRPr="00D5095D"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Description</w:t>
            </w:r>
          </w:p>
        </w:tc>
      </w:tr>
      <w:tr w:rsidR="00FE5BD4" w:rsidRPr="00D5095D"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D5095D" w:rsidRDefault="005A06EA" w:rsidP="00CB46D4">
            <w:pPr>
              <w:rPr>
                <w:b w:val="0"/>
                <w:bCs w:val="0"/>
                <w:color w:val="747474" w:themeColor="background2" w:themeShade="80"/>
              </w:rPr>
            </w:pPr>
            <w:r w:rsidRPr="00D5095D">
              <w:rPr>
                <w:color w:val="747474" w:themeColor="background2" w:themeShade="80"/>
              </w:rPr>
              <w:t>1</w:t>
            </w:r>
            <w:r w:rsidR="00FE5BD4" w:rsidRPr="00D5095D">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D5095D"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D5095D">
              <w:t>Geographical Area</w:t>
            </w:r>
          </w:p>
        </w:tc>
        <w:tc>
          <w:tcPr>
            <w:tcW w:w="2127" w:type="dxa"/>
            <w:tcBorders>
              <w:top w:val="none" w:sz="0" w:space="0" w:color="auto"/>
              <w:bottom w:val="none" w:sz="0" w:space="0" w:color="auto"/>
            </w:tcBorders>
          </w:tcPr>
          <w:p w14:paraId="0BBDE88F" w14:textId="1FF958D7" w:rsidR="00FD6ABF" w:rsidRPr="00D5095D" w:rsidRDefault="00393CCE"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D5095D">
              <w:rPr>
                <w:rStyle w:val="normaltextrun"/>
                <w:rFonts w:eastAsiaTheme="majorEastAsia"/>
                <w:color w:val="000000"/>
                <w:shd w:val="clear" w:color="auto" w:fill="FFFFFF"/>
              </w:rPr>
              <w:t>64,589 square km (</w:t>
            </w:r>
            <w:hyperlink r:id="rId13" w:tgtFrame="_blank" w:history="1">
              <w:r w:rsidRPr="00D5095D">
                <w:rPr>
                  <w:rStyle w:val="normaltextrun"/>
                  <w:rFonts w:eastAsiaTheme="majorEastAsia"/>
                  <w:color w:val="0563C1"/>
                  <w:u w:val="single"/>
                  <w:shd w:val="clear" w:color="auto" w:fill="FFFFFF"/>
                </w:rPr>
                <w:t>CIA 2023</w:t>
              </w:r>
            </w:hyperlink>
            <w:r w:rsidRPr="00D5095D">
              <w:rPr>
                <w:rStyle w:val="normaltextrun"/>
                <w:rFonts w:eastAsiaTheme="majorEastAsia"/>
                <w:color w:val="000000"/>
                <w:shd w:val="clear" w:color="auto" w:fill="FFFFFF"/>
              </w:rPr>
              <w:t>)</w:t>
            </w:r>
            <w:r w:rsidRPr="00D5095D">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D5095D"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D5095D"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D5095D" w:rsidRDefault="005A06EA" w:rsidP="00CB46D4">
            <w:pPr>
              <w:rPr>
                <w:color w:val="3A3A3A" w:themeColor="background2" w:themeShade="40"/>
              </w:rPr>
            </w:pPr>
            <w:r w:rsidRPr="00D5095D">
              <w:rPr>
                <w:color w:val="747474" w:themeColor="background2" w:themeShade="80"/>
              </w:rPr>
              <w:t>1</w:t>
            </w:r>
            <w:r w:rsidR="00FE5BD4" w:rsidRPr="00D5095D">
              <w:rPr>
                <w:color w:val="747474" w:themeColor="background2" w:themeShade="80"/>
              </w:rPr>
              <w:t>.2</w:t>
            </w:r>
          </w:p>
        </w:tc>
        <w:tc>
          <w:tcPr>
            <w:tcW w:w="2126" w:type="dxa"/>
          </w:tcPr>
          <w:p w14:paraId="090658C7" w14:textId="066EEB61" w:rsidR="00FE5BD4" w:rsidRPr="00D5095D"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D5095D">
              <w:t>Population</w:t>
            </w:r>
          </w:p>
        </w:tc>
        <w:tc>
          <w:tcPr>
            <w:tcW w:w="2127" w:type="dxa"/>
          </w:tcPr>
          <w:p w14:paraId="53888C74" w14:textId="5F813AF2" w:rsidR="00FE5BD4" w:rsidRPr="00D5095D" w:rsidRDefault="00393CCE"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D5095D">
              <w:rPr>
                <w:rStyle w:val="normaltextrun"/>
                <w:rFonts w:eastAsiaTheme="majorEastAsia"/>
                <w:color w:val="000000"/>
                <w:shd w:val="clear" w:color="auto" w:fill="FFFFFF"/>
              </w:rPr>
              <w:t>1,821,750 (2023 est.) (</w:t>
            </w:r>
            <w:hyperlink r:id="rId14" w:tgtFrame="_blank" w:history="1">
              <w:r w:rsidRPr="00D5095D">
                <w:rPr>
                  <w:rStyle w:val="normaltextrun"/>
                  <w:rFonts w:eastAsiaTheme="majorEastAsia"/>
                  <w:color w:val="0563C1"/>
                  <w:u w:val="single"/>
                  <w:shd w:val="clear" w:color="auto" w:fill="FFFFFF"/>
                </w:rPr>
                <w:t>CIA 2023</w:t>
              </w:r>
            </w:hyperlink>
            <w:r w:rsidRPr="00D5095D">
              <w:rPr>
                <w:rStyle w:val="normaltextrun"/>
                <w:rFonts w:eastAsiaTheme="majorEastAsia"/>
                <w:color w:val="000000"/>
                <w:shd w:val="clear" w:color="auto" w:fill="FFFFFF"/>
              </w:rPr>
              <w:t>)</w:t>
            </w:r>
            <w:r w:rsidRPr="00D5095D">
              <w:rPr>
                <w:rStyle w:val="eop"/>
                <w:rFonts w:eastAsiaTheme="majorEastAsia"/>
                <w:color w:val="000000"/>
                <w:shd w:val="clear" w:color="auto" w:fill="FFFFFF"/>
              </w:rPr>
              <w:t> </w:t>
            </w:r>
          </w:p>
        </w:tc>
        <w:tc>
          <w:tcPr>
            <w:tcW w:w="5670" w:type="dxa"/>
          </w:tcPr>
          <w:p w14:paraId="388126E4" w14:textId="77777777" w:rsidR="00FE5BD4" w:rsidRPr="00D5095D"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D5095D"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D5095D" w:rsidRDefault="005A06EA" w:rsidP="00CB46D4">
            <w:pPr>
              <w:rPr>
                <w:color w:val="747474" w:themeColor="background2" w:themeShade="80"/>
              </w:rPr>
            </w:pPr>
            <w:r w:rsidRPr="00D5095D">
              <w:rPr>
                <w:color w:val="747474" w:themeColor="background2" w:themeShade="80"/>
              </w:rPr>
              <w:t>1</w:t>
            </w:r>
            <w:r w:rsidR="00FE5BD4" w:rsidRPr="00D5095D">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D5095D"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D5095D">
              <w:t>High/low income</w:t>
            </w:r>
          </w:p>
        </w:tc>
        <w:tc>
          <w:tcPr>
            <w:tcW w:w="2127" w:type="dxa"/>
            <w:tcBorders>
              <w:top w:val="none" w:sz="0" w:space="0" w:color="auto"/>
              <w:bottom w:val="none" w:sz="0" w:space="0" w:color="auto"/>
            </w:tcBorders>
          </w:tcPr>
          <w:p w14:paraId="5E464A0B" w14:textId="4669E922" w:rsidR="00FE5BD4" w:rsidRPr="00D5095D" w:rsidRDefault="00393CCE"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D5095D">
              <w:rPr>
                <w:rStyle w:val="normaltextrun"/>
                <w:rFonts w:eastAsiaTheme="majorEastAsia"/>
                <w:color w:val="000000"/>
                <w:shd w:val="clear" w:color="auto" w:fill="FFFFFF"/>
              </w:rPr>
              <w:t>High income (</w:t>
            </w:r>
            <w:hyperlink r:id="rId15" w:tgtFrame="_blank" w:history="1">
              <w:r w:rsidRPr="00D5095D">
                <w:rPr>
                  <w:rStyle w:val="normaltextrun"/>
                  <w:rFonts w:eastAsiaTheme="majorEastAsia"/>
                  <w:color w:val="0563C1"/>
                  <w:u w:val="single"/>
                  <w:shd w:val="clear" w:color="auto" w:fill="FFFFFF"/>
                </w:rPr>
                <w:t>The World Bank Data 2023</w:t>
              </w:r>
            </w:hyperlink>
            <w:r w:rsidRPr="00D5095D">
              <w:rPr>
                <w:rStyle w:val="normaltextrun"/>
                <w:rFonts w:eastAsiaTheme="majorEastAsia"/>
                <w:color w:val="000000"/>
                <w:shd w:val="clear" w:color="auto" w:fill="FFFFFF"/>
              </w:rPr>
              <w:t>)</w:t>
            </w:r>
            <w:r w:rsidRPr="00D5095D">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D5095D"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D5095D"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D5095D" w:rsidRDefault="00A521A0" w:rsidP="00CB46D4">
            <w:pPr>
              <w:rPr>
                <w:color w:val="747474" w:themeColor="background2" w:themeShade="80"/>
              </w:rPr>
            </w:pPr>
            <w:r w:rsidRPr="00D5095D">
              <w:rPr>
                <w:color w:val="747474" w:themeColor="background2" w:themeShade="80"/>
              </w:rPr>
              <w:t>1.4</w:t>
            </w:r>
          </w:p>
        </w:tc>
        <w:tc>
          <w:tcPr>
            <w:tcW w:w="2126" w:type="dxa"/>
          </w:tcPr>
          <w:p w14:paraId="0EF0430D" w14:textId="714DF506" w:rsidR="00A521A0" w:rsidRPr="00D5095D"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D5095D">
              <w:t xml:space="preserve">Real GDP </w:t>
            </w:r>
            <w:r w:rsidRPr="00D5095D">
              <w:br/>
              <w:t>per capita</w:t>
            </w:r>
          </w:p>
        </w:tc>
        <w:tc>
          <w:tcPr>
            <w:tcW w:w="2127" w:type="dxa"/>
          </w:tcPr>
          <w:p w14:paraId="324904D8" w14:textId="103EA328" w:rsidR="00A521A0" w:rsidRPr="00D5095D" w:rsidRDefault="00393CCE"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D5095D">
              <w:rPr>
                <w:rStyle w:val="normaltextrun"/>
                <w:rFonts w:eastAsiaTheme="majorEastAsia"/>
                <w:color w:val="000000"/>
                <w:shd w:val="clear" w:color="auto" w:fill="FFFFFF"/>
              </w:rPr>
              <w:t>$32,100 (2021 est.) (</w:t>
            </w:r>
            <w:hyperlink r:id="rId16" w:tgtFrame="_blank" w:history="1">
              <w:r w:rsidRPr="00D5095D">
                <w:rPr>
                  <w:rStyle w:val="normaltextrun"/>
                  <w:rFonts w:eastAsiaTheme="majorEastAsia"/>
                  <w:color w:val="0563C1"/>
                  <w:u w:val="single"/>
                  <w:shd w:val="clear" w:color="auto" w:fill="FFFFFF"/>
                </w:rPr>
                <w:t>CIA 2023</w:t>
              </w:r>
            </w:hyperlink>
            <w:r w:rsidRPr="00D5095D">
              <w:rPr>
                <w:rStyle w:val="normaltextrun"/>
                <w:rFonts w:eastAsiaTheme="majorEastAsia"/>
                <w:color w:val="000000"/>
                <w:shd w:val="clear" w:color="auto" w:fill="FFFFFF"/>
              </w:rPr>
              <w:t>)</w:t>
            </w:r>
            <w:r w:rsidRPr="00D5095D">
              <w:rPr>
                <w:rStyle w:val="eop"/>
                <w:rFonts w:eastAsiaTheme="majorEastAsia"/>
                <w:color w:val="000000"/>
                <w:shd w:val="clear" w:color="auto" w:fill="FFFFFF"/>
              </w:rPr>
              <w:t> </w:t>
            </w:r>
          </w:p>
        </w:tc>
        <w:tc>
          <w:tcPr>
            <w:tcW w:w="5670" w:type="dxa"/>
          </w:tcPr>
          <w:p w14:paraId="364B9202" w14:textId="77777777" w:rsidR="00A521A0" w:rsidRPr="00D5095D"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D5095D"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D5095D" w:rsidRDefault="00A521A0" w:rsidP="00CB46D4">
            <w:pPr>
              <w:rPr>
                <w:color w:val="747474" w:themeColor="background2" w:themeShade="80"/>
              </w:rPr>
            </w:pPr>
            <w:r w:rsidRPr="00D5095D">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D5095D"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D5095D">
              <w:t>Languages (official)</w:t>
            </w:r>
          </w:p>
        </w:tc>
        <w:tc>
          <w:tcPr>
            <w:tcW w:w="2127" w:type="dxa"/>
            <w:tcBorders>
              <w:top w:val="none" w:sz="0" w:space="0" w:color="auto"/>
              <w:bottom w:val="none" w:sz="0" w:space="0" w:color="auto"/>
            </w:tcBorders>
          </w:tcPr>
          <w:p w14:paraId="694879AD" w14:textId="4563DE3E" w:rsidR="00A521A0" w:rsidRPr="00D5095D" w:rsidRDefault="00393CCE"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D5095D">
              <w:rPr>
                <w:rStyle w:val="normaltextrun"/>
                <w:rFonts w:eastAsiaTheme="majorEastAsia"/>
                <w:color w:val="000000"/>
                <w:shd w:val="clear" w:color="auto" w:fill="FFFFFF"/>
              </w:rPr>
              <w:t>Latvian (</w:t>
            </w:r>
            <w:hyperlink r:id="rId17" w:tgtFrame="_blank" w:history="1">
              <w:r w:rsidRPr="00D5095D">
                <w:rPr>
                  <w:rStyle w:val="normaltextrun"/>
                  <w:rFonts w:eastAsiaTheme="majorEastAsia"/>
                  <w:color w:val="0563C1"/>
                  <w:u w:val="single"/>
                  <w:shd w:val="clear" w:color="auto" w:fill="FFFFFF"/>
                </w:rPr>
                <w:t>CIA 2023</w:t>
              </w:r>
            </w:hyperlink>
            <w:r w:rsidRPr="00D5095D">
              <w:rPr>
                <w:rStyle w:val="normaltextrun"/>
                <w:rFonts w:eastAsiaTheme="majorEastAsia"/>
                <w:color w:val="000000"/>
                <w:shd w:val="clear" w:color="auto" w:fill="FFFFFF"/>
              </w:rPr>
              <w:t>)</w:t>
            </w:r>
            <w:r w:rsidRPr="00D5095D">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6D15EB30" w:rsidR="00A521A0" w:rsidRPr="00D5095D" w:rsidRDefault="00393CCE" w:rsidP="00CB46D4">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Latvian (official) 56.3%, Russian 33.8%, other 0.6% (includes Polish, Ukrainian, and Belarusian), unspecified 9.4%; note - data represent language usually spoken at home (2011 est.) (</w:t>
            </w:r>
            <w:hyperlink r:id="rId18" w:tgtFrame="_blank" w:history="1">
              <w:r w:rsidRPr="00D5095D">
                <w:rPr>
                  <w:rStyle w:val="normaltextrun"/>
                  <w:color w:val="0563C1"/>
                  <w:u w:val="single"/>
                  <w:shd w:val="clear" w:color="auto" w:fill="FFFFFF"/>
                </w:rPr>
                <w:t>CIA 2023</w:t>
              </w:r>
            </w:hyperlink>
            <w:r w:rsidRPr="00D5095D">
              <w:rPr>
                <w:rStyle w:val="normaltextrun"/>
                <w:color w:val="000000"/>
                <w:shd w:val="clear" w:color="auto" w:fill="FFFFFF"/>
              </w:rPr>
              <w:t>)</w:t>
            </w:r>
            <w:r w:rsidRPr="00D5095D">
              <w:rPr>
                <w:rStyle w:val="eop"/>
                <w:color w:val="000000"/>
                <w:shd w:val="clear" w:color="auto" w:fill="FFFFFF"/>
              </w:rPr>
              <w:t> </w:t>
            </w:r>
          </w:p>
        </w:tc>
      </w:tr>
      <w:tr w:rsidR="00A521A0" w:rsidRPr="00D5095D"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D5095D" w:rsidRDefault="00A521A0" w:rsidP="00CB46D4">
            <w:pPr>
              <w:rPr>
                <w:color w:val="747474" w:themeColor="background2" w:themeShade="80"/>
              </w:rPr>
            </w:pPr>
            <w:r w:rsidRPr="00D5095D">
              <w:rPr>
                <w:color w:val="747474" w:themeColor="background2" w:themeShade="80"/>
              </w:rPr>
              <w:t>1.6</w:t>
            </w:r>
          </w:p>
        </w:tc>
        <w:tc>
          <w:tcPr>
            <w:tcW w:w="2126" w:type="dxa"/>
          </w:tcPr>
          <w:p w14:paraId="7E1CB711" w14:textId="6B3DCD93" w:rsidR="00A521A0" w:rsidRPr="00D5095D"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D5095D">
              <w:t>Government type</w:t>
            </w:r>
          </w:p>
        </w:tc>
        <w:tc>
          <w:tcPr>
            <w:tcW w:w="2127" w:type="dxa"/>
          </w:tcPr>
          <w:p w14:paraId="2EA80462" w14:textId="05D008AA" w:rsidR="00A521A0" w:rsidRPr="00D5095D" w:rsidRDefault="00393CCE"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D5095D">
              <w:rPr>
                <w:rStyle w:val="normaltextrun"/>
                <w:rFonts w:eastAsiaTheme="majorEastAsia"/>
                <w:color w:val="000000"/>
                <w:shd w:val="clear" w:color="auto" w:fill="FFFFFF"/>
              </w:rPr>
              <w:t>Parliamentary republic (</w:t>
            </w:r>
            <w:hyperlink r:id="rId19" w:tgtFrame="_blank" w:history="1">
              <w:r w:rsidRPr="00D5095D">
                <w:rPr>
                  <w:rStyle w:val="normaltextrun"/>
                  <w:rFonts w:eastAsiaTheme="majorEastAsia"/>
                  <w:color w:val="0563C1"/>
                  <w:u w:val="single"/>
                  <w:shd w:val="clear" w:color="auto" w:fill="FFFFFF"/>
                </w:rPr>
                <w:t>CIA 2023</w:t>
              </w:r>
            </w:hyperlink>
            <w:r w:rsidRPr="00D5095D">
              <w:rPr>
                <w:rStyle w:val="normaltextrun"/>
                <w:rFonts w:eastAsiaTheme="majorEastAsia"/>
                <w:color w:val="000000"/>
                <w:shd w:val="clear" w:color="auto" w:fill="FFFFFF"/>
              </w:rPr>
              <w:t>)</w:t>
            </w:r>
            <w:r w:rsidRPr="00D5095D">
              <w:rPr>
                <w:rStyle w:val="eop"/>
                <w:rFonts w:eastAsiaTheme="majorEastAsia"/>
                <w:color w:val="000000"/>
                <w:shd w:val="clear" w:color="auto" w:fill="FFFFFF"/>
              </w:rPr>
              <w:t> </w:t>
            </w:r>
          </w:p>
        </w:tc>
        <w:tc>
          <w:tcPr>
            <w:tcW w:w="5670" w:type="dxa"/>
          </w:tcPr>
          <w:p w14:paraId="7EBCEB28" w14:textId="77777777" w:rsidR="00A521A0" w:rsidRPr="00D5095D"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D5095D"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D5095D" w:rsidRDefault="00A521A0" w:rsidP="00CB46D4">
            <w:pPr>
              <w:rPr>
                <w:color w:val="747474" w:themeColor="background2" w:themeShade="80"/>
              </w:rPr>
            </w:pPr>
            <w:r w:rsidRPr="00D5095D">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D5095D"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D5095D">
              <w:t>Legal system</w:t>
            </w:r>
          </w:p>
        </w:tc>
        <w:tc>
          <w:tcPr>
            <w:tcW w:w="2127" w:type="dxa"/>
            <w:tcBorders>
              <w:top w:val="none" w:sz="0" w:space="0" w:color="auto"/>
              <w:bottom w:val="none" w:sz="0" w:space="0" w:color="auto"/>
            </w:tcBorders>
          </w:tcPr>
          <w:p w14:paraId="2C773CB3" w14:textId="77777777" w:rsidR="00A521A0" w:rsidRPr="00D5095D"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692A0BA6" w:rsidR="00A521A0" w:rsidRPr="00D5095D" w:rsidRDefault="00393CCE" w:rsidP="00CB46D4">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Civil law system with traces of socialist legal traditions and practices (</w:t>
            </w:r>
            <w:hyperlink r:id="rId20" w:tgtFrame="_blank" w:history="1">
              <w:r w:rsidRPr="00D5095D">
                <w:rPr>
                  <w:rStyle w:val="normaltextrun"/>
                  <w:color w:val="0563C1"/>
                  <w:u w:val="single"/>
                  <w:shd w:val="clear" w:color="auto" w:fill="FFFFFF"/>
                </w:rPr>
                <w:t>CIA 2023</w:t>
              </w:r>
            </w:hyperlink>
            <w:r w:rsidRPr="00D5095D">
              <w:rPr>
                <w:rStyle w:val="normaltextrun"/>
                <w:color w:val="000000"/>
                <w:shd w:val="clear" w:color="auto" w:fill="FFFFFF"/>
              </w:rPr>
              <w:t>)</w:t>
            </w:r>
            <w:r w:rsidRPr="00D5095D">
              <w:rPr>
                <w:rStyle w:val="eop"/>
                <w:color w:val="000000"/>
                <w:shd w:val="clear" w:color="auto" w:fill="FFFFFF"/>
              </w:rPr>
              <w:t> </w:t>
            </w:r>
          </w:p>
        </w:tc>
      </w:tr>
      <w:tr w:rsidR="00A521A0" w:rsidRPr="00D5095D"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D5095D" w:rsidRDefault="00A521A0" w:rsidP="00CB46D4">
            <w:pPr>
              <w:rPr>
                <w:color w:val="747474" w:themeColor="background2" w:themeShade="80"/>
              </w:rPr>
            </w:pPr>
            <w:r w:rsidRPr="00D5095D">
              <w:rPr>
                <w:color w:val="747474" w:themeColor="background2" w:themeShade="80"/>
              </w:rPr>
              <w:t>1.8</w:t>
            </w:r>
          </w:p>
        </w:tc>
        <w:tc>
          <w:tcPr>
            <w:tcW w:w="2126" w:type="dxa"/>
          </w:tcPr>
          <w:p w14:paraId="40E1C827" w14:textId="31714C34" w:rsidR="00A521A0" w:rsidRPr="00D5095D"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D5095D">
              <w:t>Internet users</w:t>
            </w:r>
            <w:r w:rsidRPr="00D5095D">
              <w:br/>
              <w:t>(% of pop)</w:t>
            </w:r>
          </w:p>
        </w:tc>
        <w:tc>
          <w:tcPr>
            <w:tcW w:w="2127" w:type="dxa"/>
          </w:tcPr>
          <w:p w14:paraId="30C858A9" w14:textId="2BE27D4B" w:rsidR="00A521A0" w:rsidRPr="00D5095D" w:rsidRDefault="00393CCE"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D5095D">
              <w:rPr>
                <w:rStyle w:val="normaltextrun"/>
                <w:rFonts w:eastAsiaTheme="majorEastAsia"/>
                <w:color w:val="000000"/>
                <w:shd w:val="clear" w:color="auto" w:fill="FFFFFF"/>
              </w:rPr>
              <w:t>91% (2021 est.) (</w:t>
            </w:r>
            <w:hyperlink r:id="rId21" w:tgtFrame="_blank" w:history="1">
              <w:r w:rsidRPr="00D5095D">
                <w:rPr>
                  <w:rStyle w:val="normaltextrun"/>
                  <w:rFonts w:eastAsiaTheme="majorEastAsia"/>
                  <w:color w:val="0563C1"/>
                  <w:u w:val="single"/>
                  <w:shd w:val="clear" w:color="auto" w:fill="FFFFFF"/>
                </w:rPr>
                <w:t>CIA 2023</w:t>
              </w:r>
            </w:hyperlink>
            <w:r w:rsidRPr="00D5095D">
              <w:rPr>
                <w:rStyle w:val="normaltextrun"/>
                <w:rFonts w:eastAsiaTheme="majorEastAsia"/>
                <w:color w:val="000000"/>
                <w:shd w:val="clear" w:color="auto" w:fill="FFFFFF"/>
              </w:rPr>
              <w:t>)</w:t>
            </w:r>
            <w:r w:rsidRPr="00D5095D">
              <w:rPr>
                <w:rStyle w:val="eop"/>
                <w:rFonts w:eastAsiaTheme="majorEastAsia"/>
                <w:color w:val="000000"/>
                <w:shd w:val="clear" w:color="auto" w:fill="FFFFFF"/>
              </w:rPr>
              <w:t> </w:t>
            </w:r>
          </w:p>
        </w:tc>
        <w:tc>
          <w:tcPr>
            <w:tcW w:w="5670" w:type="dxa"/>
          </w:tcPr>
          <w:p w14:paraId="10FE12BB" w14:textId="77777777" w:rsidR="00A521A0" w:rsidRPr="00D5095D"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D5095D"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D5095D" w:rsidRDefault="00747689" w:rsidP="00CB46D4">
            <w:pPr>
              <w:rPr>
                <w:color w:val="747474" w:themeColor="background2" w:themeShade="80"/>
              </w:rPr>
            </w:pPr>
            <w:r w:rsidRPr="00D5095D">
              <w:rPr>
                <w:color w:val="747474" w:themeColor="background2" w:themeShade="80"/>
              </w:rPr>
              <w:t>1.9</w:t>
            </w:r>
          </w:p>
        </w:tc>
        <w:tc>
          <w:tcPr>
            <w:tcW w:w="2126" w:type="dxa"/>
          </w:tcPr>
          <w:p w14:paraId="41FF2173" w14:textId="2327C125" w:rsidR="00747689" w:rsidRPr="00D5095D"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D5095D">
              <w:t xml:space="preserve">Media </w:t>
            </w:r>
            <w:r w:rsidR="00747689" w:rsidRPr="00D5095D">
              <w:t>Freedom Ranking</w:t>
            </w:r>
          </w:p>
        </w:tc>
        <w:tc>
          <w:tcPr>
            <w:tcW w:w="2127" w:type="dxa"/>
          </w:tcPr>
          <w:p w14:paraId="73B2FE62" w14:textId="25D6BBBE" w:rsidR="00011AD0" w:rsidRPr="00011AD0" w:rsidRDefault="00393CCE" w:rsidP="00A521A0">
            <w:pPr>
              <w:pStyle w:val="Classificationcolumntext"/>
              <w:cnfStyle w:val="000000100000" w:firstRow="0" w:lastRow="0" w:firstColumn="0" w:lastColumn="0" w:oddVBand="0" w:evenVBand="0" w:oddHBand="1" w:evenHBand="0" w:firstRowFirstColumn="0" w:firstRowLastColumn="0" w:lastRowFirstColumn="0" w:lastRowLastColumn="0"/>
              <w:rPr>
                <w:rFonts w:eastAsiaTheme="majorEastAsia"/>
                <w:b/>
                <w:bCs/>
                <w:color w:val="000000"/>
                <w:shd w:val="clear" w:color="auto" w:fill="FFFFFF"/>
              </w:rPr>
            </w:pPr>
            <w:r w:rsidRPr="00D5095D">
              <w:rPr>
                <w:rStyle w:val="normaltextrun"/>
                <w:rFonts w:eastAsiaTheme="majorEastAsia"/>
                <w:color w:val="000000"/>
                <w:shd w:val="clear" w:color="auto" w:fill="FFFFFF"/>
              </w:rPr>
              <w:t>RSF 2023: 16 (Satisfactory) </w:t>
            </w:r>
            <w:r w:rsidRPr="00D5095D">
              <w:rPr>
                <w:rStyle w:val="eop"/>
                <w:rFonts w:eastAsiaTheme="majorEastAsia"/>
                <w:color w:val="000000"/>
                <w:shd w:val="clear" w:color="auto" w:fill="FFFFFF"/>
              </w:rPr>
              <w:t> </w:t>
            </w:r>
          </w:p>
        </w:tc>
        <w:tc>
          <w:tcPr>
            <w:tcW w:w="5670" w:type="dxa"/>
          </w:tcPr>
          <w:p w14:paraId="34D5EBFD" w14:textId="77777777" w:rsidR="00747689" w:rsidRPr="00D5095D" w:rsidRDefault="00747689" w:rsidP="00CB46D4">
            <w:pPr>
              <w:cnfStyle w:val="000000100000" w:firstRow="0" w:lastRow="0" w:firstColumn="0" w:lastColumn="0" w:oddVBand="0" w:evenVBand="0" w:oddHBand="1" w:evenHBand="0" w:firstRowFirstColumn="0" w:firstRowLastColumn="0" w:lastRowFirstColumn="0" w:lastRowLastColumn="0"/>
            </w:pPr>
          </w:p>
        </w:tc>
      </w:tr>
    </w:tbl>
    <w:p w14:paraId="7C1291AD" w14:textId="368EF842" w:rsidR="00D25F75" w:rsidRPr="00D5095D" w:rsidRDefault="00AE3D31" w:rsidP="00B653BC">
      <w:pPr>
        <w:pStyle w:val="SectionHead"/>
        <w:rPr>
          <w:rFonts w:cs="Arial"/>
        </w:rPr>
      </w:pPr>
      <w:bookmarkStart w:id="5" w:name="_Toc170216089"/>
      <w:r w:rsidRPr="00D5095D">
        <w:rPr>
          <w:rFonts w:cs="Arial"/>
        </w:rPr>
        <w:t>Media System; Media and Advertising Markets</w:t>
      </w:r>
      <w:bookmarkEnd w:id="5"/>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D5095D"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D5095D" w:rsidRDefault="00786213" w:rsidP="00CB46D4">
            <w:pPr>
              <w:pStyle w:val="Tableheadings"/>
              <w:spacing w:line="240" w:lineRule="auto"/>
              <w:rPr>
                <w:b/>
                <w:bCs/>
              </w:rPr>
            </w:pPr>
            <w:r w:rsidRPr="00D5095D">
              <w:rPr>
                <w:b/>
                <w:bCs/>
              </w:rPr>
              <w:t>Item</w:t>
            </w:r>
          </w:p>
        </w:tc>
        <w:tc>
          <w:tcPr>
            <w:tcW w:w="2126" w:type="dxa"/>
            <w:tcBorders>
              <w:bottom w:val="none" w:sz="0" w:space="0" w:color="auto"/>
            </w:tcBorders>
          </w:tcPr>
          <w:p w14:paraId="0B466FD1" w14:textId="77777777" w:rsidR="00786213" w:rsidRPr="00D5095D"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283C654A" w14:textId="77777777" w:rsidR="00786213" w:rsidRPr="00D5095D"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 xml:space="preserve">Classification </w:t>
            </w:r>
          </w:p>
        </w:tc>
        <w:tc>
          <w:tcPr>
            <w:tcW w:w="5670" w:type="dxa"/>
            <w:tcBorders>
              <w:bottom w:val="none" w:sz="0" w:space="0" w:color="auto"/>
            </w:tcBorders>
          </w:tcPr>
          <w:p w14:paraId="3006A2D9" w14:textId="77777777" w:rsidR="00786213" w:rsidRPr="00D5095D"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Description</w:t>
            </w:r>
          </w:p>
        </w:tc>
      </w:tr>
      <w:tr w:rsidR="00786213" w:rsidRPr="00D5095D"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D5095D" w:rsidRDefault="0081774C" w:rsidP="00CB46D4">
            <w:pPr>
              <w:rPr>
                <w:b w:val="0"/>
                <w:bCs w:val="0"/>
                <w:color w:val="747474" w:themeColor="background2" w:themeShade="80"/>
              </w:rPr>
            </w:pPr>
            <w:r w:rsidRPr="00D5095D">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D5095D"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Media system classification</w:t>
            </w:r>
          </w:p>
        </w:tc>
        <w:tc>
          <w:tcPr>
            <w:tcW w:w="2127" w:type="dxa"/>
            <w:tcBorders>
              <w:top w:val="none" w:sz="0" w:space="0" w:color="auto"/>
              <w:bottom w:val="none" w:sz="0" w:space="0" w:color="auto"/>
            </w:tcBorders>
          </w:tcPr>
          <w:p w14:paraId="4FDC6444" w14:textId="36B172E9" w:rsidR="00786213" w:rsidRPr="00D5095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610A045B" w:rsidR="00786213" w:rsidRPr="00D5095D" w:rsidRDefault="00393CCE" w:rsidP="00CB46D4">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rPr>
              <w:t xml:space="preserve">Post-Communist, a part of the ‘Northern’ cluster (including Lithuania, Estonia, and Slovakia) which are predicted to develop characteristics typical of countries </w:t>
            </w:r>
            <w:r w:rsidRPr="00D5095D">
              <w:rPr>
                <w:rStyle w:val="normaltextrun"/>
                <w:color w:val="000000"/>
              </w:rPr>
              <w:lastRenderedPageBreak/>
              <w:t>aligned with Hallin and Mancini’s Northern European Democratic Corporatist Model, combined with features associated with the Liberal Model (Boshnakova and Dankova 2023: 187-188). </w:t>
            </w:r>
          </w:p>
        </w:tc>
      </w:tr>
      <w:tr w:rsidR="00786213" w:rsidRPr="00D5095D"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D5095D" w:rsidRDefault="0081774C" w:rsidP="00CB46D4">
            <w:pPr>
              <w:rPr>
                <w:color w:val="3A3A3A" w:themeColor="background2" w:themeShade="40"/>
              </w:rPr>
            </w:pPr>
            <w:r w:rsidRPr="00D5095D">
              <w:rPr>
                <w:color w:val="747474" w:themeColor="background2" w:themeShade="80"/>
              </w:rPr>
              <w:lastRenderedPageBreak/>
              <w:t>2.2</w:t>
            </w:r>
          </w:p>
        </w:tc>
        <w:tc>
          <w:tcPr>
            <w:tcW w:w="2126" w:type="dxa"/>
          </w:tcPr>
          <w:p w14:paraId="486D08BD" w14:textId="19459C6C" w:rsidR="00786213" w:rsidRPr="00D5095D"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Role of State (type)</w:t>
            </w:r>
          </w:p>
        </w:tc>
        <w:tc>
          <w:tcPr>
            <w:tcW w:w="2127" w:type="dxa"/>
          </w:tcPr>
          <w:p w14:paraId="19F51F24" w14:textId="509220C5" w:rsidR="00786213" w:rsidRPr="00D5095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1BD8E052" w:rsidR="00786213" w:rsidRPr="00D5095D" w:rsidRDefault="00393CCE" w:rsidP="00CB46D4">
            <w:pPr>
              <w:cnfStyle w:val="000000000000" w:firstRow="0" w:lastRow="0" w:firstColumn="0" w:lastColumn="0" w:oddVBand="0" w:evenVBand="0" w:oddHBand="0" w:evenHBand="0" w:firstRowFirstColumn="0" w:firstRowLastColumn="0" w:lastRowFirstColumn="0" w:lastRowLastColumn="0"/>
            </w:pPr>
            <w:r w:rsidRPr="00D5095D">
              <w:rPr>
                <w:rStyle w:val="normaltextrun"/>
                <w:color w:val="000000"/>
                <w:shd w:val="clear" w:color="auto" w:fill="FFFFFF"/>
              </w:rPr>
              <w:t>Following Hallin and Mancini’s model and assuming the future alignment with the North Atlantic or Liberal Model, the evolving system is characterised by low state intervention, with a market dominated system and weak Public Service Broadcasting (Boshnakova and Dankova 2023; Hallin and Mancini 2004). At its current stage of development, the Latvian media system is described as typical for CEE countries in the late phase of transition</w:t>
            </w:r>
            <w:r w:rsidR="005E0C1A" w:rsidRPr="00D5095D">
              <w:rPr>
                <w:rStyle w:val="normaltextrun"/>
                <w:color w:val="000000"/>
                <w:shd w:val="clear" w:color="auto" w:fill="FFFFFF"/>
              </w:rPr>
              <w:t>,</w:t>
            </w:r>
            <w:r w:rsidRPr="00D5095D">
              <w:rPr>
                <w:rStyle w:val="normaltextrun"/>
                <w:color w:val="000000"/>
                <w:shd w:val="clear" w:color="auto" w:fill="FFFFFF"/>
              </w:rPr>
              <w:t xml:space="preserve"> as hybrid liberal (Dobek - Ostrowska, 2015, 2019)</w:t>
            </w:r>
            <w:r w:rsidR="005E0C1A" w:rsidRPr="00D5095D">
              <w:rPr>
                <w:rStyle w:val="normaltextrun"/>
                <w:color w:val="000000"/>
                <w:shd w:val="clear" w:color="auto" w:fill="FFFFFF"/>
              </w:rPr>
              <w:t>,</w:t>
            </w:r>
            <w:r w:rsidRPr="00D5095D">
              <w:rPr>
                <w:rStyle w:val="normaltextrun"/>
                <w:color w:val="000000"/>
                <w:shd w:val="clear" w:color="auto" w:fill="FFFFFF"/>
              </w:rPr>
              <w:t xml:space="preserve"> or hybrid and suffering from the lack of dominant paradigm elements of liberal (free market as primarily regulating force), democratic corporate (weak media professionalization, attempts to strengthen PSM) and polarised pluralistic model (researchers especially stress the relatively strong political parallelism</w:t>
            </w:r>
            <w:r w:rsidR="005E0C1A" w:rsidRPr="00D5095D">
              <w:rPr>
                <w:rStyle w:val="normaltextrun"/>
                <w:color w:val="000000"/>
                <w:shd w:val="clear" w:color="auto" w:fill="FFFFFF"/>
              </w:rPr>
              <w:t xml:space="preserve"> in</w:t>
            </w:r>
            <w:r w:rsidRPr="00D5095D">
              <w:rPr>
                <w:rStyle w:val="normaltextrun"/>
                <w:color w:val="000000"/>
                <w:shd w:val="clear" w:color="auto" w:fill="FFFFFF"/>
              </w:rPr>
              <w:t xml:space="preserve"> Latvian media environment) (Rožukalne 2023).</w:t>
            </w:r>
          </w:p>
        </w:tc>
      </w:tr>
      <w:tr w:rsidR="00786213" w:rsidRPr="00D5095D"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D5095D" w:rsidRDefault="0081774C" w:rsidP="00CB46D4">
            <w:pPr>
              <w:rPr>
                <w:color w:val="747474" w:themeColor="background2" w:themeShade="80"/>
              </w:rPr>
            </w:pPr>
            <w:r w:rsidRPr="00D5095D">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D5095D"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Media Plurality indicators</w:t>
            </w:r>
          </w:p>
        </w:tc>
        <w:tc>
          <w:tcPr>
            <w:tcW w:w="2127" w:type="dxa"/>
            <w:tcBorders>
              <w:top w:val="none" w:sz="0" w:space="0" w:color="auto"/>
              <w:bottom w:val="none" w:sz="0" w:space="0" w:color="auto"/>
            </w:tcBorders>
          </w:tcPr>
          <w:p w14:paraId="23F31BE1" w14:textId="52E49BA9" w:rsidR="00865C84" w:rsidRPr="00D5095D"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65C84">
              <w:rPr>
                <w:rFonts w:eastAsia="Times New Roman"/>
                <w:lang w:eastAsia="en-GB"/>
              </w:rPr>
              <w:t>Fundamental Protection</w:t>
            </w:r>
            <w:r w:rsidRPr="00D5095D">
              <w:rPr>
                <w:rFonts w:eastAsia="Times New Roman"/>
                <w:lang w:eastAsia="en-GB"/>
              </w:rPr>
              <w:t>:</w:t>
            </w:r>
            <w:r w:rsidRPr="00865C84">
              <w:rPr>
                <w:rFonts w:eastAsia="Times New Roman"/>
                <w:lang w:eastAsia="en-GB"/>
              </w:rPr>
              <w:t xml:space="preserve"> 21% - low risk</w:t>
            </w:r>
            <w:r w:rsidRPr="00D5095D">
              <w:rPr>
                <w:rFonts w:eastAsia="Times New Roman"/>
                <w:lang w:eastAsia="en-GB"/>
              </w:rPr>
              <w:t>.</w:t>
            </w:r>
          </w:p>
          <w:p w14:paraId="27348FF1" w14:textId="77777777" w:rsidR="00865C84" w:rsidRPr="00865C84"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40814B26" w14:textId="7C2A16AA" w:rsidR="00865C84" w:rsidRPr="00D5095D"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65C84">
              <w:rPr>
                <w:rFonts w:eastAsia="Times New Roman"/>
                <w:lang w:eastAsia="en-GB"/>
              </w:rPr>
              <w:t>Market Plurality</w:t>
            </w:r>
            <w:r w:rsidRPr="00D5095D">
              <w:rPr>
                <w:rFonts w:eastAsia="Times New Roman"/>
                <w:lang w:eastAsia="en-GB"/>
              </w:rPr>
              <w:t xml:space="preserve">: </w:t>
            </w:r>
            <w:r w:rsidRPr="00865C84">
              <w:rPr>
                <w:rFonts w:eastAsia="Times New Roman"/>
                <w:lang w:eastAsia="en-GB"/>
              </w:rPr>
              <w:t>65% - medium ris</w:t>
            </w:r>
            <w:r w:rsidRPr="00D5095D">
              <w:rPr>
                <w:rFonts w:eastAsia="Times New Roman"/>
                <w:lang w:eastAsia="en-GB"/>
              </w:rPr>
              <w:t>k.</w:t>
            </w:r>
          </w:p>
          <w:p w14:paraId="75B46D78" w14:textId="77777777" w:rsidR="00865C84" w:rsidRPr="00865C84"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38E03642" w14:textId="77777777" w:rsidR="00865C84" w:rsidRPr="00D5095D"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65C84">
              <w:rPr>
                <w:rFonts w:eastAsia="Times New Roman"/>
                <w:lang w:eastAsia="en-GB"/>
              </w:rPr>
              <w:t>Political Independence</w:t>
            </w:r>
            <w:r w:rsidRPr="00D5095D">
              <w:rPr>
                <w:rFonts w:eastAsia="Times New Roman"/>
                <w:lang w:eastAsia="en-GB"/>
              </w:rPr>
              <w:t xml:space="preserve">: </w:t>
            </w:r>
            <w:r w:rsidRPr="00865C84">
              <w:rPr>
                <w:rFonts w:eastAsia="Times New Roman"/>
                <w:lang w:eastAsia="en-GB"/>
              </w:rPr>
              <w:t>37% - medium risk</w:t>
            </w:r>
            <w:r w:rsidRPr="00D5095D">
              <w:rPr>
                <w:rFonts w:eastAsia="Times New Roman"/>
                <w:lang w:eastAsia="en-GB"/>
              </w:rPr>
              <w:t>.</w:t>
            </w:r>
          </w:p>
          <w:p w14:paraId="3B2CC46D" w14:textId="514400D1" w:rsidR="00865C84" w:rsidRPr="00865C84"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65C84">
              <w:rPr>
                <w:rFonts w:eastAsia="Times New Roman"/>
                <w:lang w:eastAsia="en-GB"/>
              </w:rPr>
              <w:t>  </w:t>
            </w:r>
          </w:p>
          <w:p w14:paraId="6C15E049" w14:textId="77777777" w:rsidR="00865C84" w:rsidRPr="00D5095D"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65C84">
              <w:rPr>
                <w:rFonts w:eastAsia="Times New Roman"/>
                <w:lang w:eastAsia="en-GB"/>
              </w:rPr>
              <w:t>Social Inclusiveness</w:t>
            </w:r>
            <w:r w:rsidRPr="00D5095D">
              <w:rPr>
                <w:rFonts w:eastAsia="Times New Roman"/>
                <w:lang w:eastAsia="en-GB"/>
              </w:rPr>
              <w:t>:</w:t>
            </w:r>
            <w:r w:rsidRPr="00865C84">
              <w:rPr>
                <w:rFonts w:eastAsia="Times New Roman"/>
                <w:lang w:eastAsia="en-GB"/>
              </w:rPr>
              <w:t xml:space="preserve"> 52% - medium risk</w:t>
            </w:r>
            <w:r w:rsidRPr="00D5095D">
              <w:rPr>
                <w:rFonts w:eastAsia="Times New Roman"/>
                <w:lang w:eastAsia="en-GB"/>
              </w:rPr>
              <w:t>.</w:t>
            </w:r>
          </w:p>
          <w:p w14:paraId="3F785859" w14:textId="330F46A4" w:rsidR="00865C84" w:rsidRPr="00865C84"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65C84">
              <w:rPr>
                <w:rFonts w:eastAsia="Times New Roman"/>
                <w:lang w:eastAsia="en-GB"/>
              </w:rPr>
              <w:t> </w:t>
            </w:r>
          </w:p>
          <w:p w14:paraId="664D761C" w14:textId="1E4A4124" w:rsidR="00786213" w:rsidRPr="00D5095D" w:rsidRDefault="00865C84" w:rsidP="00865C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865C84">
              <w:rPr>
                <w:rFonts w:eastAsia="Times New Roman"/>
                <w:lang w:eastAsia="en-GB"/>
              </w:rPr>
              <w:t>(MPM 2023). </w:t>
            </w:r>
          </w:p>
        </w:tc>
        <w:tc>
          <w:tcPr>
            <w:tcW w:w="5670" w:type="dxa"/>
            <w:tcBorders>
              <w:top w:val="none" w:sz="0" w:space="0" w:color="auto"/>
              <w:bottom w:val="none" w:sz="0" w:space="0" w:color="auto"/>
            </w:tcBorders>
          </w:tcPr>
          <w:p w14:paraId="44B8EEE2" w14:textId="704E2658" w:rsidR="00786213" w:rsidRPr="00D5095D" w:rsidRDefault="00D5095D" w:rsidP="00CB46D4">
            <w:pPr>
              <w:cnfStyle w:val="000000100000" w:firstRow="0" w:lastRow="0" w:firstColumn="0" w:lastColumn="0" w:oddVBand="0" w:evenVBand="0" w:oddHBand="1" w:evenHBand="0" w:firstRowFirstColumn="0" w:firstRowLastColumn="0" w:lastRowFirstColumn="0" w:lastRowLastColumn="0"/>
            </w:pPr>
            <w:r>
              <w:t>*</w:t>
            </w:r>
          </w:p>
        </w:tc>
      </w:tr>
      <w:tr w:rsidR="00786213" w:rsidRPr="00D5095D"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D5095D" w:rsidRDefault="0081774C" w:rsidP="00CB46D4">
            <w:pPr>
              <w:rPr>
                <w:color w:val="747474" w:themeColor="background2" w:themeShade="80"/>
              </w:rPr>
            </w:pPr>
            <w:r w:rsidRPr="00D5095D">
              <w:rPr>
                <w:color w:val="747474" w:themeColor="background2" w:themeShade="80"/>
              </w:rPr>
              <w:t>2.4</w:t>
            </w:r>
          </w:p>
        </w:tc>
        <w:tc>
          <w:tcPr>
            <w:tcW w:w="2126" w:type="dxa"/>
          </w:tcPr>
          <w:p w14:paraId="7F7582D6" w14:textId="288288B7" w:rsidR="00786213" w:rsidRPr="00D5095D"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Media Market (MM)</w:t>
            </w:r>
          </w:p>
        </w:tc>
        <w:tc>
          <w:tcPr>
            <w:tcW w:w="2127" w:type="dxa"/>
          </w:tcPr>
          <w:p w14:paraId="5A293F35" w14:textId="61E903E8" w:rsidR="00786213" w:rsidRPr="00D5095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11868631" w:rsidR="00786213" w:rsidRPr="00D5095D" w:rsidRDefault="00865C84" w:rsidP="00865C84">
            <w:pPr>
              <w:cnfStyle w:val="000000000000" w:firstRow="0" w:lastRow="0" w:firstColumn="0" w:lastColumn="0" w:oddVBand="0" w:evenVBand="0" w:oddHBand="0" w:evenHBand="0" w:firstRowFirstColumn="0" w:firstRowLastColumn="0" w:lastRowFirstColumn="0" w:lastRowLastColumn="0"/>
            </w:pPr>
            <w:r w:rsidRPr="00D5095D">
              <w:t xml:space="preserve">According to Statista, </w:t>
            </w:r>
            <w:r w:rsidR="002C125F" w:rsidRPr="00D5095D">
              <w:t xml:space="preserve">in 2024, </w:t>
            </w:r>
            <w:r w:rsidRPr="00D5095D">
              <w:t>Latvia</w:t>
            </w:r>
            <w:r w:rsidR="002C125F" w:rsidRPr="00D5095D">
              <w:t>n Media Market</w:t>
            </w:r>
            <w:r w:rsidRPr="00D5095D">
              <w:t xml:space="preserve"> is expected to reach a revenue of 403.30</w:t>
            </w:r>
            <w:r w:rsidR="002C125F" w:rsidRPr="00D5095D">
              <w:t xml:space="preserve"> </w:t>
            </w:r>
            <w:r w:rsidRPr="00D5095D">
              <w:t>m</w:t>
            </w:r>
            <w:r w:rsidR="002C125F" w:rsidRPr="00D5095D">
              <w:t>illion US dollars. TV and video make up the largest segment of the market, with an estimated value of 163.30 million US dollars (</w:t>
            </w:r>
            <w:hyperlink r:id="rId22" w:history="1">
              <w:r w:rsidR="002C125F" w:rsidRPr="00D5095D">
                <w:rPr>
                  <w:rStyle w:val="Hyperlink"/>
                </w:rPr>
                <w:t>Statista 2024</w:t>
              </w:r>
            </w:hyperlink>
            <w:r w:rsidR="002C125F" w:rsidRPr="00D5095D">
              <w:t xml:space="preserve">). </w:t>
            </w:r>
          </w:p>
        </w:tc>
      </w:tr>
      <w:tr w:rsidR="00786213" w:rsidRPr="00D5095D"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D5095D" w:rsidRDefault="0081774C" w:rsidP="00CB46D4">
            <w:pPr>
              <w:rPr>
                <w:color w:val="747474" w:themeColor="background2" w:themeShade="80"/>
              </w:rPr>
            </w:pPr>
            <w:r w:rsidRPr="00D5095D">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D5095D"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MM news publishing</w:t>
            </w:r>
          </w:p>
        </w:tc>
        <w:tc>
          <w:tcPr>
            <w:tcW w:w="2127" w:type="dxa"/>
            <w:tcBorders>
              <w:top w:val="none" w:sz="0" w:space="0" w:color="auto"/>
              <w:bottom w:val="none" w:sz="0" w:space="0" w:color="auto"/>
            </w:tcBorders>
          </w:tcPr>
          <w:p w14:paraId="2C916552" w14:textId="7CD64054" w:rsidR="00786213" w:rsidRPr="00D5095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3702C03C" w:rsidR="00786213" w:rsidRPr="00D5095D" w:rsidRDefault="002C125F" w:rsidP="007C2B03">
            <w:pPr>
              <w:cnfStyle w:val="000000100000" w:firstRow="0" w:lastRow="0" w:firstColumn="0" w:lastColumn="0" w:oddVBand="0" w:evenVBand="0" w:oddHBand="1" w:evenHBand="0" w:firstRowFirstColumn="0" w:firstRowLastColumn="0" w:lastRowFirstColumn="0" w:lastRowLastColumn="0"/>
            </w:pPr>
            <w:r w:rsidRPr="00D5095D">
              <w:t>The Press Publishers Association lists 70 market players in the Latvian news publishing market, including the major newspaper Diena, and IR, known for its investigative journalism (</w:t>
            </w:r>
            <w:hyperlink r:id="rId23" w:history="1">
              <w:r w:rsidRPr="00D5095D">
                <w:rPr>
                  <w:rStyle w:val="Hyperlink"/>
                </w:rPr>
                <w:t>The Press Publishers Association n.d.</w:t>
              </w:r>
            </w:hyperlink>
            <w:r w:rsidRPr="00D5095D">
              <w:t xml:space="preserve">). The digital revolution </w:t>
            </w:r>
            <w:r w:rsidR="007C2B03" w:rsidRPr="00D5095D">
              <w:t>continues to motivate</w:t>
            </w:r>
            <w:r w:rsidRPr="00D5095D">
              <w:t xml:space="preserve"> a decrease in the consumption of the press, with only 62% of the population </w:t>
            </w:r>
            <w:r w:rsidRPr="00D5095D">
              <w:lastRenderedPageBreak/>
              <w:t>still reading (MPM 2023: 6).</w:t>
            </w:r>
            <w:r w:rsidR="007C2B03" w:rsidRPr="00D5095D">
              <w:t xml:space="preserve"> </w:t>
            </w:r>
            <w:r w:rsidR="00303920" w:rsidRPr="00D5095D">
              <w:t>According to Statista, the newspapers and magazines market revenue in</w:t>
            </w:r>
            <w:r w:rsidR="007C2B03" w:rsidRPr="00D5095D">
              <w:t xml:space="preserve"> Latvia</w:t>
            </w:r>
            <w:r w:rsidR="00303920" w:rsidRPr="00D5095D">
              <w:t xml:space="preserve"> is set to reach </w:t>
            </w:r>
            <w:r w:rsidR="007C2B03" w:rsidRPr="00D5095D">
              <w:t>45.61</w:t>
            </w:r>
            <w:r w:rsidR="00303920" w:rsidRPr="00D5095D">
              <w:t xml:space="preserve"> </w:t>
            </w:r>
            <w:r w:rsidR="007C2B03" w:rsidRPr="00D5095D">
              <w:t>m</w:t>
            </w:r>
            <w:r w:rsidR="00303920" w:rsidRPr="00D5095D">
              <w:t>illion US dollars</w:t>
            </w:r>
            <w:r w:rsidR="007C2B03" w:rsidRPr="00D5095D">
              <w:t xml:space="preserve"> in 2024</w:t>
            </w:r>
            <w:r w:rsidR="00303920" w:rsidRPr="00D5095D">
              <w:t>, and continue to decline yearly by approximately 2.5% (</w:t>
            </w:r>
            <w:hyperlink r:id="rId24" w:history="1">
              <w:r w:rsidR="00303920" w:rsidRPr="00D5095D">
                <w:rPr>
                  <w:rStyle w:val="Hyperlink"/>
                </w:rPr>
                <w:t>Statista 2024</w:t>
              </w:r>
            </w:hyperlink>
            <w:r w:rsidR="00303920" w:rsidRPr="00D5095D">
              <w:t>).</w:t>
            </w:r>
          </w:p>
        </w:tc>
      </w:tr>
      <w:tr w:rsidR="00786213" w:rsidRPr="00D5095D"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D5095D" w:rsidRDefault="0081774C" w:rsidP="00CB46D4">
            <w:pPr>
              <w:rPr>
                <w:color w:val="747474" w:themeColor="background2" w:themeShade="80"/>
              </w:rPr>
            </w:pPr>
            <w:r w:rsidRPr="00D5095D">
              <w:rPr>
                <w:color w:val="747474" w:themeColor="background2" w:themeShade="80"/>
              </w:rPr>
              <w:lastRenderedPageBreak/>
              <w:t>2.6</w:t>
            </w:r>
          </w:p>
        </w:tc>
        <w:tc>
          <w:tcPr>
            <w:tcW w:w="2126" w:type="dxa"/>
          </w:tcPr>
          <w:p w14:paraId="1CAD36D2" w14:textId="2980C256" w:rsidR="00786213" w:rsidRPr="00D5095D"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MM AV production</w:t>
            </w:r>
          </w:p>
        </w:tc>
        <w:tc>
          <w:tcPr>
            <w:tcW w:w="2127" w:type="dxa"/>
          </w:tcPr>
          <w:p w14:paraId="3C1CD887" w14:textId="0CE476CC" w:rsidR="00786213" w:rsidRPr="00D5095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2774202D" w:rsidR="00786213" w:rsidRPr="00D5095D" w:rsidRDefault="00303920" w:rsidP="00CB46D4">
            <w:pPr>
              <w:cnfStyle w:val="000000000000" w:firstRow="0" w:lastRow="0" w:firstColumn="0" w:lastColumn="0" w:oddVBand="0" w:evenVBand="0" w:oddHBand="0" w:evenHBand="0" w:firstRowFirstColumn="0" w:firstRowLastColumn="0" w:lastRowFirstColumn="0" w:lastRowLastColumn="0"/>
            </w:pPr>
            <w:r w:rsidRPr="00D5095D">
              <w:t>Latvia’s film industry is supported by state funding and international cooperation and continues to grow. In 2024, the Latvian government allocated nearly €3 million in additional funding for foreign film production, attracting investments of more than €16 million (</w:t>
            </w:r>
            <w:hyperlink r:id="rId25" w:history="1">
              <w:r w:rsidRPr="00D5095D">
                <w:rPr>
                  <w:rStyle w:val="Hyperlink"/>
                </w:rPr>
                <w:t>Ministry of Economics of Latvia 2024</w:t>
              </w:r>
            </w:hyperlink>
            <w:r w:rsidRPr="00D5095D">
              <w:t>).</w:t>
            </w:r>
            <w:r w:rsidR="00D5095D" w:rsidRPr="00D5095D">
              <w:t xml:space="preserve"> Latvian National Electronic Mass Media Council lists 33 Latvian TV Programmes (</w:t>
            </w:r>
            <w:hyperlink r:id="rId26" w:history="1">
              <w:r w:rsidR="00D5095D" w:rsidRPr="00D5095D">
                <w:rPr>
                  <w:rStyle w:val="Hyperlink"/>
                </w:rPr>
                <w:t>National Electronic Mass Media Council 2024</w:t>
              </w:r>
            </w:hyperlink>
            <w:r w:rsidR="00D5095D" w:rsidRPr="00D5095D">
              <w:t>).</w:t>
            </w:r>
          </w:p>
        </w:tc>
      </w:tr>
      <w:tr w:rsidR="00786213" w:rsidRPr="00D5095D"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D5095D" w:rsidRDefault="0081774C" w:rsidP="00CB46D4">
            <w:pPr>
              <w:rPr>
                <w:color w:val="747474" w:themeColor="background2" w:themeShade="80"/>
              </w:rPr>
            </w:pPr>
            <w:r w:rsidRPr="00D5095D">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D5095D"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MM Public Service Media</w:t>
            </w:r>
          </w:p>
        </w:tc>
        <w:tc>
          <w:tcPr>
            <w:tcW w:w="2127" w:type="dxa"/>
            <w:tcBorders>
              <w:top w:val="none" w:sz="0" w:space="0" w:color="auto"/>
              <w:bottom w:val="none" w:sz="0" w:space="0" w:color="auto"/>
            </w:tcBorders>
          </w:tcPr>
          <w:p w14:paraId="46184305" w14:textId="2E2642FC" w:rsidR="00786213" w:rsidRPr="00D5095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D5095D"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D5095D"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D5095D" w:rsidRDefault="0081774C" w:rsidP="00CB46D4">
            <w:pPr>
              <w:rPr>
                <w:color w:val="747474" w:themeColor="background2" w:themeShade="80"/>
              </w:rPr>
            </w:pPr>
            <w:r w:rsidRPr="00D5095D">
              <w:rPr>
                <w:color w:val="747474" w:themeColor="background2" w:themeShade="80"/>
              </w:rPr>
              <w:t>2.8</w:t>
            </w:r>
          </w:p>
        </w:tc>
        <w:tc>
          <w:tcPr>
            <w:tcW w:w="2126" w:type="dxa"/>
          </w:tcPr>
          <w:p w14:paraId="7B5B2051" w14:textId="794A7534" w:rsidR="00786213" w:rsidRPr="00D5095D"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MM other</w:t>
            </w:r>
          </w:p>
        </w:tc>
        <w:tc>
          <w:tcPr>
            <w:tcW w:w="2127" w:type="dxa"/>
          </w:tcPr>
          <w:p w14:paraId="71F3B996" w14:textId="77777777" w:rsidR="00786213" w:rsidRPr="00D5095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D5095D"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D5095D"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D5095D" w:rsidRDefault="0081774C" w:rsidP="00CB46D4">
            <w:pPr>
              <w:rPr>
                <w:color w:val="747474" w:themeColor="background2" w:themeShade="80"/>
              </w:rPr>
            </w:pPr>
            <w:r w:rsidRPr="00D5095D">
              <w:rPr>
                <w:color w:val="747474" w:themeColor="background2" w:themeShade="80"/>
              </w:rPr>
              <w:t>2.9</w:t>
            </w:r>
          </w:p>
        </w:tc>
        <w:tc>
          <w:tcPr>
            <w:tcW w:w="2126" w:type="dxa"/>
          </w:tcPr>
          <w:p w14:paraId="120ECACA" w14:textId="6C32FF1A" w:rsidR="00786213" w:rsidRPr="00D5095D"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Media Viability (from MPM)</w:t>
            </w:r>
          </w:p>
        </w:tc>
        <w:tc>
          <w:tcPr>
            <w:tcW w:w="2127" w:type="dxa"/>
          </w:tcPr>
          <w:p w14:paraId="7578B581" w14:textId="77777777" w:rsidR="00D5095D" w:rsidRPr="00D5095D" w:rsidRDefault="00D5095D" w:rsidP="00D5095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D5095D">
              <w:rPr>
                <w:rStyle w:val="normaltextrun"/>
                <w:rFonts w:ascii="Arial" w:eastAsiaTheme="majorEastAsia" w:hAnsi="Arial" w:cs="Arial"/>
                <w:sz w:val="22"/>
                <w:szCs w:val="22"/>
              </w:rPr>
              <w:t>MPM 2023: 29%</w:t>
            </w:r>
            <w:r w:rsidRPr="00D5095D">
              <w:rPr>
                <w:rStyle w:val="eop"/>
                <w:rFonts w:ascii="Arial" w:eastAsiaTheme="majorEastAsia" w:hAnsi="Arial" w:cs="Arial"/>
                <w:sz w:val="22"/>
                <w:szCs w:val="22"/>
              </w:rPr>
              <w:t> </w:t>
            </w:r>
          </w:p>
          <w:p w14:paraId="5C866F3D" w14:textId="064F7BB5" w:rsidR="00786213" w:rsidRPr="00D5095D" w:rsidRDefault="00D5095D" w:rsidP="00D5095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D5095D">
              <w:rPr>
                <w:rStyle w:val="normaltextrun"/>
                <w:rFonts w:ascii="Arial" w:eastAsiaTheme="majorEastAsia" w:hAnsi="Arial" w:cs="Arial"/>
                <w:sz w:val="22"/>
                <w:szCs w:val="22"/>
              </w:rPr>
              <w:t>MPM 2022: 40%</w:t>
            </w:r>
            <w:r w:rsidRPr="00D5095D">
              <w:rPr>
                <w:rStyle w:val="eop"/>
                <w:rFonts w:ascii="Arial" w:eastAsiaTheme="majorEastAsia" w:hAnsi="Arial" w:cs="Arial"/>
                <w:sz w:val="22"/>
                <w:szCs w:val="22"/>
              </w:rPr>
              <w:t> </w:t>
            </w:r>
          </w:p>
        </w:tc>
        <w:tc>
          <w:tcPr>
            <w:tcW w:w="5670" w:type="dxa"/>
          </w:tcPr>
          <w:p w14:paraId="2C66586B" w14:textId="0121EF0A" w:rsidR="00786213" w:rsidRPr="00D5095D" w:rsidRDefault="00D5095D" w:rsidP="00CB46D4">
            <w:pPr>
              <w:cnfStyle w:val="000000100000" w:firstRow="0" w:lastRow="0" w:firstColumn="0" w:lastColumn="0" w:oddVBand="0" w:evenVBand="0" w:oddHBand="1" w:evenHBand="0" w:firstRowFirstColumn="0" w:firstRowLastColumn="0" w:lastRowFirstColumn="0" w:lastRowLastColumn="0"/>
            </w:pPr>
            <w:r>
              <w:t>*</w:t>
            </w:r>
          </w:p>
        </w:tc>
      </w:tr>
      <w:tr w:rsidR="00786213" w:rsidRPr="00D5095D"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D5095D" w:rsidRDefault="0081774C" w:rsidP="00CB46D4">
            <w:pPr>
              <w:rPr>
                <w:color w:val="747474" w:themeColor="background2" w:themeShade="80"/>
              </w:rPr>
            </w:pPr>
            <w:r w:rsidRPr="00D5095D">
              <w:rPr>
                <w:color w:val="747474" w:themeColor="background2" w:themeShade="80"/>
              </w:rPr>
              <w:t>2.10</w:t>
            </w:r>
          </w:p>
        </w:tc>
        <w:tc>
          <w:tcPr>
            <w:tcW w:w="2126" w:type="dxa"/>
          </w:tcPr>
          <w:p w14:paraId="2CF7D4AD" w14:textId="5F9A4C73" w:rsidR="00786213" w:rsidRPr="00D5095D"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Advertising Market (AM)</w:t>
            </w:r>
          </w:p>
        </w:tc>
        <w:tc>
          <w:tcPr>
            <w:tcW w:w="2127" w:type="dxa"/>
          </w:tcPr>
          <w:p w14:paraId="3AA6B93B" w14:textId="77777777" w:rsidR="00786213" w:rsidRPr="00D5095D"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7AB6073D" w:rsidR="00786213" w:rsidRPr="00D5095D" w:rsidRDefault="00BA3508" w:rsidP="00BA3508">
            <w:pPr>
              <w:cnfStyle w:val="000000000000" w:firstRow="0" w:lastRow="0" w:firstColumn="0" w:lastColumn="0" w:oddVBand="0" w:evenVBand="0" w:oddHBand="0" w:evenHBand="0" w:firstRowFirstColumn="0" w:firstRowLastColumn="0" w:lastRowFirstColumn="0" w:lastRowLastColumn="0"/>
            </w:pPr>
            <w:r w:rsidRPr="00D5095D">
              <w:t>In 2022, Latvian advertising revenue reached € 613.6 million, which placed in at 25th in the European rankings. The revenue has been growing by approximately 11% each year since 2013, now slowing and expected to remain at little over 2%, until 2026 when the total reaches € 703.6 million (</w:t>
            </w:r>
            <w:hyperlink r:id="rId27" w:history="1">
              <w:r w:rsidRPr="00D5095D">
                <w:rPr>
                  <w:rStyle w:val="Hyperlink"/>
                </w:rPr>
                <w:t>ReportLinker n.d.</w:t>
              </w:r>
            </w:hyperlink>
            <w:r w:rsidRPr="00D5095D">
              <w:t>).</w:t>
            </w:r>
          </w:p>
        </w:tc>
      </w:tr>
      <w:tr w:rsidR="00786213" w:rsidRPr="00D5095D"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D5095D" w:rsidRDefault="0081774C" w:rsidP="00CB46D4">
            <w:pPr>
              <w:rPr>
                <w:color w:val="747474" w:themeColor="background2" w:themeShade="80"/>
              </w:rPr>
            </w:pPr>
            <w:r w:rsidRPr="00D5095D">
              <w:rPr>
                <w:color w:val="747474" w:themeColor="background2" w:themeShade="80"/>
              </w:rPr>
              <w:t>2.11</w:t>
            </w:r>
          </w:p>
        </w:tc>
        <w:tc>
          <w:tcPr>
            <w:tcW w:w="2126" w:type="dxa"/>
          </w:tcPr>
          <w:p w14:paraId="43A89369" w14:textId="58B58BB9" w:rsidR="00786213" w:rsidRPr="00D5095D"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Digital Ad market</w:t>
            </w:r>
          </w:p>
        </w:tc>
        <w:tc>
          <w:tcPr>
            <w:tcW w:w="2127" w:type="dxa"/>
          </w:tcPr>
          <w:p w14:paraId="352BF4BE" w14:textId="77777777" w:rsidR="00786213" w:rsidRPr="00D5095D"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7B8F6A90" w:rsidR="00786213" w:rsidRPr="00D5095D" w:rsidRDefault="00D5095D" w:rsidP="00D5095D">
            <w:pPr>
              <w:cnfStyle w:val="000000100000" w:firstRow="0" w:lastRow="0" w:firstColumn="0" w:lastColumn="0" w:oddVBand="0" w:evenVBand="0" w:oddHBand="1" w:evenHBand="0" w:firstRowFirstColumn="0" w:firstRowLastColumn="0" w:lastRowFirstColumn="0" w:lastRowLastColumn="0"/>
            </w:pPr>
            <w:r w:rsidRPr="00D5095D">
              <w:t>According to Statista, in 2024, advertising spending in the Latvian Digital Advertising market is estimated to reach 148.9 million US dollars. Search advertising makes up the largest segment of the market, at 52 million US dollars (</w:t>
            </w:r>
            <w:hyperlink r:id="rId28" w:history="1">
              <w:r w:rsidRPr="00D5095D">
                <w:rPr>
                  <w:rStyle w:val="Hyperlink"/>
                </w:rPr>
                <w:t>Statista 2024</w:t>
              </w:r>
            </w:hyperlink>
            <w:r w:rsidRPr="00D5095D">
              <w:t>).</w:t>
            </w:r>
          </w:p>
        </w:tc>
      </w:tr>
      <w:tr w:rsidR="007D008B" w:rsidRPr="00D5095D"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D5095D" w:rsidRDefault="0081774C" w:rsidP="00CB46D4">
            <w:pPr>
              <w:rPr>
                <w:color w:val="747474" w:themeColor="background2" w:themeShade="80"/>
              </w:rPr>
            </w:pPr>
            <w:r w:rsidRPr="00D5095D">
              <w:rPr>
                <w:color w:val="747474" w:themeColor="background2" w:themeShade="80"/>
              </w:rPr>
              <w:t>2.12</w:t>
            </w:r>
          </w:p>
        </w:tc>
        <w:tc>
          <w:tcPr>
            <w:tcW w:w="2126" w:type="dxa"/>
          </w:tcPr>
          <w:p w14:paraId="17417266" w14:textId="6C2B93EC" w:rsidR="007D008B" w:rsidRPr="00D5095D"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AM segments</w:t>
            </w:r>
          </w:p>
        </w:tc>
        <w:tc>
          <w:tcPr>
            <w:tcW w:w="2127" w:type="dxa"/>
          </w:tcPr>
          <w:p w14:paraId="44CE7DFC" w14:textId="77777777" w:rsidR="007D008B" w:rsidRPr="00D5095D"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D5095D"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D5095D" w:rsidRDefault="00703A7B" w:rsidP="00955813">
      <w:pPr>
        <w:pStyle w:val="SectionHead"/>
        <w:rPr>
          <w:rFonts w:cs="Arial"/>
          <w:i/>
        </w:rPr>
      </w:pPr>
      <w:bookmarkStart w:id="6" w:name="_Toc170216090"/>
      <w:r w:rsidRPr="00D5095D">
        <w:rPr>
          <w:rFonts w:cs="Arial"/>
        </w:rPr>
        <w:t>Communications: Legal and Regulatory Framework</w:t>
      </w:r>
      <w:bookmarkEnd w:id="6"/>
      <w:r w:rsidRPr="00D5095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D5095D"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D5095D" w:rsidRDefault="00703A7B" w:rsidP="00CB46D4">
            <w:pPr>
              <w:pStyle w:val="Tableheadings"/>
              <w:spacing w:line="240" w:lineRule="auto"/>
              <w:rPr>
                <w:b/>
                <w:bCs/>
              </w:rPr>
            </w:pPr>
            <w:r w:rsidRPr="00D5095D">
              <w:rPr>
                <w:b/>
                <w:bCs/>
              </w:rPr>
              <w:t>Item</w:t>
            </w:r>
          </w:p>
        </w:tc>
        <w:tc>
          <w:tcPr>
            <w:tcW w:w="2126" w:type="dxa"/>
            <w:tcBorders>
              <w:bottom w:val="none" w:sz="0" w:space="0" w:color="auto"/>
            </w:tcBorders>
          </w:tcPr>
          <w:p w14:paraId="37EE1C86" w14:textId="77777777" w:rsidR="00703A7B" w:rsidRPr="00D5095D"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44C92310" w14:textId="77777777" w:rsidR="00703A7B" w:rsidRPr="00D5095D"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 xml:space="preserve">Classification </w:t>
            </w:r>
          </w:p>
        </w:tc>
        <w:tc>
          <w:tcPr>
            <w:tcW w:w="5670" w:type="dxa"/>
            <w:tcBorders>
              <w:bottom w:val="none" w:sz="0" w:space="0" w:color="auto"/>
            </w:tcBorders>
          </w:tcPr>
          <w:p w14:paraId="7352E33E" w14:textId="77777777" w:rsidR="00703A7B" w:rsidRPr="00D5095D"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Description</w:t>
            </w:r>
          </w:p>
        </w:tc>
      </w:tr>
      <w:tr w:rsidR="00703A7B" w:rsidRPr="00D5095D"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D5095D" w:rsidRDefault="00703A7B" w:rsidP="00CB46D4">
            <w:pPr>
              <w:rPr>
                <w:b w:val="0"/>
                <w:bCs w:val="0"/>
                <w:color w:val="747474" w:themeColor="background2" w:themeShade="80"/>
              </w:rPr>
            </w:pPr>
            <w:r w:rsidRPr="00D5095D">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D5095D"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Supranational</w:t>
            </w:r>
          </w:p>
        </w:tc>
        <w:tc>
          <w:tcPr>
            <w:tcW w:w="2127" w:type="dxa"/>
            <w:tcBorders>
              <w:top w:val="none" w:sz="0" w:space="0" w:color="auto"/>
              <w:bottom w:val="none" w:sz="0" w:space="0" w:color="auto"/>
            </w:tcBorders>
          </w:tcPr>
          <w:p w14:paraId="3239635C" w14:textId="77777777" w:rsidR="00703A7B" w:rsidRPr="00D5095D"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0CB2A933" w:rsidR="00D3084C" w:rsidRPr="00D5095D" w:rsidRDefault="00631991" w:rsidP="00D3084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Style w:val="normaltextrun"/>
                <w:rFonts w:ascii="Arial" w:eastAsiaTheme="majorEastAsia" w:hAnsi="Arial" w:cs="Arial"/>
                <w:sz w:val="22"/>
                <w:szCs w:val="22"/>
              </w:rPr>
              <w:t>Latvia</w:t>
            </w:r>
            <w:r w:rsidR="00D3084C" w:rsidRPr="00D5095D">
              <w:rPr>
                <w:rStyle w:val="normaltextrun"/>
                <w:rFonts w:ascii="Arial" w:eastAsiaTheme="majorEastAsia" w:hAnsi="Arial" w:cs="Arial"/>
                <w:sz w:val="22"/>
                <w:szCs w:val="22"/>
              </w:rPr>
              <w:t xml:space="preserve"> became a member of the European Union in </w:t>
            </w:r>
            <w:r>
              <w:rPr>
                <w:rStyle w:val="normaltextrun"/>
                <w:rFonts w:ascii="Arial" w:eastAsiaTheme="majorEastAsia" w:hAnsi="Arial" w:cs="Arial"/>
                <w:sz w:val="22"/>
                <w:szCs w:val="22"/>
              </w:rPr>
              <w:t>2004</w:t>
            </w:r>
            <w:r w:rsidR="00D3084C" w:rsidRPr="00D5095D">
              <w:rPr>
                <w:rStyle w:val="normaltextrun"/>
                <w:rFonts w:ascii="Arial" w:eastAsiaTheme="majorEastAsia" w:hAnsi="Arial" w:cs="Arial"/>
                <w:sz w:val="22"/>
                <w:szCs w:val="22"/>
              </w:rPr>
              <w:t xml:space="preserve"> and aligns with the EU regulatory </w:t>
            </w:r>
            <w:r w:rsidR="00D3084C" w:rsidRPr="00631991">
              <w:rPr>
                <w:rStyle w:val="normaltextrun"/>
                <w:rFonts w:ascii="Arial" w:eastAsiaTheme="majorEastAsia" w:hAnsi="Arial" w:cs="Arial"/>
                <w:sz w:val="22"/>
                <w:szCs w:val="22"/>
              </w:rPr>
              <w:t>framework</w:t>
            </w:r>
            <w:r w:rsidRPr="00631991">
              <w:rPr>
                <w:rStyle w:val="normaltextrun"/>
                <w:rFonts w:ascii="Arial" w:eastAsiaTheme="majorEastAsia" w:hAnsi="Arial" w:cs="Arial"/>
                <w:sz w:val="22"/>
                <w:szCs w:val="22"/>
              </w:rPr>
              <w:t xml:space="preserve"> </w:t>
            </w:r>
            <w:r w:rsidRPr="00631991">
              <w:rPr>
                <w:rStyle w:val="normaltextrun"/>
                <w:rFonts w:ascii="Arial" w:eastAsiaTheme="majorEastAsia" w:hAnsi="Arial" w:cs="Arial"/>
                <w:color w:val="000000"/>
                <w:sz w:val="22"/>
                <w:szCs w:val="22"/>
                <w:shd w:val="clear" w:color="auto" w:fill="FFFFFF"/>
              </w:rPr>
              <w:t>(</w:t>
            </w:r>
            <w:hyperlink r:id="rId29" w:tgtFrame="_blank" w:history="1">
              <w:r w:rsidRPr="00631991">
                <w:rPr>
                  <w:rStyle w:val="normaltextrun"/>
                  <w:rFonts w:ascii="Arial" w:eastAsiaTheme="majorEastAsia" w:hAnsi="Arial" w:cs="Arial"/>
                  <w:color w:val="0563C1"/>
                  <w:sz w:val="22"/>
                  <w:szCs w:val="22"/>
                  <w:u w:val="single"/>
                  <w:shd w:val="clear" w:color="auto" w:fill="FFFFFF"/>
                </w:rPr>
                <w:t>EU n.d.</w:t>
              </w:r>
            </w:hyperlink>
            <w:r w:rsidRPr="00631991">
              <w:rPr>
                <w:rStyle w:val="normaltextrun"/>
                <w:rFonts w:ascii="Arial" w:eastAsiaTheme="majorEastAsia" w:hAnsi="Arial" w:cs="Arial"/>
                <w:color w:val="000000"/>
                <w:sz w:val="22"/>
                <w:szCs w:val="22"/>
                <w:shd w:val="clear" w:color="auto" w:fill="FFFFFF"/>
              </w:rPr>
              <w:t>).</w:t>
            </w:r>
            <w:r>
              <w:rPr>
                <w:rStyle w:val="normaltextrun"/>
                <w:rFonts w:ascii="Calibri" w:eastAsiaTheme="majorEastAsia" w:hAnsi="Calibri" w:cs="Calibri"/>
                <w:color w:val="000000"/>
                <w:sz w:val="22"/>
                <w:szCs w:val="22"/>
                <w:shd w:val="clear" w:color="auto" w:fill="FFFFFF"/>
              </w:rPr>
              <w:t xml:space="preserve"> </w:t>
            </w:r>
            <w:r w:rsidR="00D3084C" w:rsidRPr="00D5095D">
              <w:rPr>
                <w:rStyle w:val="normaltextrun"/>
                <w:rFonts w:ascii="Arial" w:eastAsiaTheme="majorEastAsia" w:hAnsi="Arial" w:cs="Arial"/>
                <w:sz w:val="22"/>
                <w:szCs w:val="22"/>
              </w:rPr>
              <w:t xml:space="preserve">In the communications sector, the following key EU </w:t>
            </w:r>
            <w:r w:rsidR="00D3084C" w:rsidRPr="00D5095D">
              <w:rPr>
                <w:rStyle w:val="normaltextrun"/>
                <w:rFonts w:ascii="Arial" w:eastAsiaTheme="majorEastAsia" w:hAnsi="Arial" w:cs="Arial"/>
                <w:sz w:val="22"/>
                <w:szCs w:val="22"/>
              </w:rPr>
              <w:lastRenderedPageBreak/>
              <w:t>directives were either transposed or became directly enforceable: </w:t>
            </w:r>
            <w:r w:rsidR="00D3084C" w:rsidRPr="00D5095D">
              <w:rPr>
                <w:rStyle w:val="eop"/>
                <w:rFonts w:ascii="Arial" w:eastAsiaTheme="majorEastAsia" w:hAnsi="Arial" w:cs="Arial"/>
                <w:sz w:val="22"/>
                <w:szCs w:val="22"/>
              </w:rPr>
              <w:t> </w:t>
            </w:r>
          </w:p>
          <w:p w14:paraId="548C13C3" w14:textId="77777777" w:rsidR="00631991" w:rsidRPr="00942B24" w:rsidRDefault="00000000"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eop"/>
                <w:rFonts w:ascii="Arial" w:hAnsi="Arial" w:cs="Arial"/>
                <w:sz w:val="22"/>
                <w:szCs w:val="22"/>
              </w:rPr>
            </w:pPr>
            <w:hyperlink r:id="rId30" w:tgtFrame="_blank" w:history="1">
              <w:r w:rsidR="00631991" w:rsidRPr="00942B24">
                <w:rPr>
                  <w:rStyle w:val="normaltextrun"/>
                  <w:rFonts w:ascii="Arial" w:eastAsiaTheme="majorEastAsia" w:hAnsi="Arial" w:cs="Arial"/>
                  <w:color w:val="0563C1"/>
                  <w:sz w:val="22"/>
                  <w:szCs w:val="22"/>
                  <w:u w:val="single"/>
                  <w:shd w:val="clear" w:color="auto" w:fill="FFFFFF"/>
                </w:rPr>
                <w:t>The Audiovisual Media Services Directive (2018/1808)</w:t>
              </w:r>
            </w:hyperlink>
            <w:r w:rsidR="00631991" w:rsidRPr="00942B24">
              <w:rPr>
                <w:rStyle w:val="normaltextrun"/>
                <w:rFonts w:ascii="Arial" w:eastAsiaTheme="majorEastAsia" w:hAnsi="Arial" w:cs="Arial"/>
                <w:color w:val="000000"/>
                <w:sz w:val="22"/>
                <w:szCs w:val="22"/>
                <w:shd w:val="clear" w:color="auto" w:fill="FFFFFF"/>
              </w:rPr>
              <w:t xml:space="preserve"> was transposed into Latvian law through the amendments to the Electronic Media Law, which entered into force in December 2020 (</w:t>
            </w:r>
            <w:hyperlink r:id="rId31" w:tgtFrame="_blank" w:history="1">
              <w:r w:rsidR="00631991" w:rsidRPr="00942B24">
                <w:rPr>
                  <w:rStyle w:val="normaltextrun"/>
                  <w:rFonts w:ascii="Arial" w:eastAsiaTheme="majorEastAsia" w:hAnsi="Arial" w:cs="Arial"/>
                  <w:color w:val="0563C1"/>
                  <w:sz w:val="22"/>
                  <w:szCs w:val="22"/>
                  <w:u w:val="single"/>
                  <w:shd w:val="clear" w:color="auto" w:fill="FFFFFF"/>
                </w:rPr>
                <w:t>European Audiovisual Observatory 2023</w:t>
              </w:r>
            </w:hyperlink>
            <w:r w:rsidR="00631991" w:rsidRPr="00942B24">
              <w:rPr>
                <w:rStyle w:val="normaltextrun"/>
                <w:rFonts w:ascii="Arial" w:eastAsiaTheme="majorEastAsia" w:hAnsi="Arial" w:cs="Arial"/>
                <w:color w:val="000000"/>
                <w:sz w:val="22"/>
                <w:szCs w:val="22"/>
                <w:shd w:val="clear" w:color="auto" w:fill="FFFFFF"/>
              </w:rPr>
              <w:t>).</w:t>
            </w:r>
            <w:r w:rsidR="00631991" w:rsidRPr="00942B24">
              <w:rPr>
                <w:rStyle w:val="eop"/>
                <w:rFonts w:ascii="Arial" w:eastAsiaTheme="majorEastAsia" w:hAnsi="Arial" w:cs="Arial"/>
                <w:color w:val="000000"/>
                <w:sz w:val="22"/>
                <w:szCs w:val="22"/>
                <w:shd w:val="clear" w:color="auto" w:fill="FFFFFF"/>
              </w:rPr>
              <w:t> </w:t>
            </w:r>
          </w:p>
          <w:p w14:paraId="52E7AA69" w14:textId="29A18DA3" w:rsidR="00631991" w:rsidRPr="008763FD" w:rsidRDefault="00631991"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r w:rsidRPr="00942B24">
              <w:rPr>
                <w:rStyle w:val="normaltextrun"/>
                <w:rFonts w:ascii="Arial" w:eastAsiaTheme="majorEastAsia" w:hAnsi="Arial" w:cs="Arial"/>
                <w:color w:val="000000"/>
                <w:sz w:val="22"/>
                <w:szCs w:val="22"/>
                <w:shd w:val="clear" w:color="auto" w:fill="FFFFFF"/>
              </w:rPr>
              <w:t xml:space="preserve">Latvia, along with many other EU countries, including Estonia and Lithuania, did not transpose </w:t>
            </w:r>
            <w:hyperlink r:id="rId32" w:tgtFrame="_blank" w:history="1">
              <w:r w:rsidRPr="00942B24">
                <w:rPr>
                  <w:rStyle w:val="normaltextrun"/>
                  <w:rFonts w:ascii="Arial" w:eastAsiaTheme="majorEastAsia" w:hAnsi="Arial" w:cs="Arial"/>
                  <w:color w:val="0563C1"/>
                  <w:sz w:val="22"/>
                  <w:szCs w:val="22"/>
                  <w:u w:val="single"/>
                  <w:shd w:val="clear" w:color="auto" w:fill="FFFFFF"/>
                </w:rPr>
                <w:t>the European Electronic Communications Code</w:t>
              </w:r>
            </w:hyperlink>
            <w:r w:rsidRPr="00942B24">
              <w:rPr>
                <w:rStyle w:val="normaltextrun"/>
                <w:rFonts w:ascii="Arial" w:eastAsiaTheme="majorEastAsia" w:hAnsi="Arial" w:cs="Arial"/>
                <w:color w:val="000000"/>
                <w:sz w:val="22"/>
                <w:szCs w:val="22"/>
                <w:shd w:val="clear" w:color="auto" w:fill="FFFFFF"/>
              </w:rPr>
              <w:t xml:space="preserve"> (Directive (EU) 2018/1972) into national legislations on time (by 21 December 2020). After many setbacks </w:t>
            </w:r>
            <w:hyperlink r:id="rId33" w:tgtFrame="_blank" w:history="1">
              <w:r w:rsidRPr="00942B24">
                <w:rPr>
                  <w:rStyle w:val="normaltextrun"/>
                  <w:rFonts w:ascii="Arial" w:eastAsiaTheme="majorEastAsia" w:hAnsi="Arial" w:cs="Arial"/>
                  <w:color w:val="0563C1"/>
                  <w:sz w:val="22"/>
                  <w:szCs w:val="22"/>
                  <w:u w:val="single"/>
                  <w:shd w:val="clear" w:color="auto" w:fill="E1E3E6"/>
                </w:rPr>
                <w:t>The Electronic Communications Law 2022</w:t>
              </w:r>
            </w:hyperlink>
            <w:r w:rsidRPr="00942B24">
              <w:rPr>
                <w:rStyle w:val="normaltextrun"/>
                <w:rFonts w:ascii="Arial" w:eastAsiaTheme="majorEastAsia" w:hAnsi="Arial" w:cs="Arial"/>
                <w:color w:val="000000"/>
                <w:sz w:val="22"/>
                <w:szCs w:val="22"/>
                <w:shd w:val="clear" w:color="auto" w:fill="FFFFFF"/>
              </w:rPr>
              <w:t xml:space="preserve"> (Elektronisko sakaru likums) implementing the directive was accepted in 2022 (</w:t>
            </w:r>
            <w:hyperlink r:id="rId34" w:anchor=":~:text=However%2C%20the%20majority%20of%20EU,reading%20on%202%20June%202022." w:tgtFrame="_blank" w:history="1">
              <w:r w:rsidRPr="00942B24">
                <w:rPr>
                  <w:rStyle w:val="normaltextrun"/>
                  <w:rFonts w:ascii="Arial" w:eastAsiaTheme="majorEastAsia" w:hAnsi="Arial" w:cs="Arial"/>
                  <w:color w:val="0563C1"/>
                  <w:sz w:val="22"/>
                  <w:szCs w:val="22"/>
                  <w:u w:val="single"/>
                  <w:shd w:val="clear" w:color="auto" w:fill="FFFFFF"/>
                </w:rPr>
                <w:t>European Audiovisual Observatory 2023</w:t>
              </w:r>
            </w:hyperlink>
            <w:r w:rsidRPr="00942B24">
              <w:rPr>
                <w:rStyle w:val="normaltextrun"/>
                <w:rFonts w:ascii="Arial" w:eastAsiaTheme="majorEastAsia" w:hAnsi="Arial" w:cs="Arial"/>
                <w:color w:val="000000"/>
                <w:sz w:val="22"/>
                <w:szCs w:val="22"/>
                <w:shd w:val="clear" w:color="auto" w:fill="FFFFFF"/>
              </w:rPr>
              <w:t>).</w:t>
            </w:r>
          </w:p>
          <w:p w14:paraId="5EA5910B" w14:textId="142A733A" w:rsidR="00631991" w:rsidRPr="007C0CD2" w:rsidRDefault="008763FD" w:rsidP="007C0CD2">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D5095D">
              <w:rPr>
                <w:rStyle w:val="normaltextrun"/>
                <w:rFonts w:ascii="Arial" w:eastAsiaTheme="majorEastAsia" w:hAnsi="Arial" w:cs="Arial"/>
                <w:sz w:val="22"/>
                <w:szCs w:val="22"/>
              </w:rPr>
              <w:t xml:space="preserve">The General Data Protection Regulation (the GDPR, </w:t>
            </w:r>
            <w:hyperlink r:id="rId35" w:tgtFrame="_blank" w:history="1">
              <w:r w:rsidRPr="00D5095D">
                <w:rPr>
                  <w:rStyle w:val="normaltextrun"/>
                  <w:rFonts w:ascii="Arial" w:eastAsiaTheme="majorEastAsia" w:hAnsi="Arial" w:cs="Arial"/>
                  <w:color w:val="0563C1"/>
                  <w:sz w:val="22"/>
                  <w:szCs w:val="22"/>
                </w:rPr>
                <w:t>EU Regulation 2016/679</w:t>
              </w:r>
            </w:hyperlink>
            <w:r w:rsidRPr="00D5095D">
              <w:rPr>
                <w:rStyle w:val="normaltextrun"/>
                <w:rFonts w:ascii="Arial" w:eastAsiaTheme="majorEastAsia" w:hAnsi="Arial" w:cs="Arial"/>
                <w:sz w:val="22"/>
                <w:szCs w:val="22"/>
              </w:rPr>
              <w:t xml:space="preserve">) and the Digital Services Act (the DSA, </w:t>
            </w:r>
            <w:hyperlink r:id="rId36" w:tgtFrame="_blank" w:history="1">
              <w:r w:rsidRPr="00D5095D">
                <w:rPr>
                  <w:rStyle w:val="normaltextrun"/>
                  <w:rFonts w:ascii="Arial" w:eastAsiaTheme="majorEastAsia" w:hAnsi="Arial" w:cs="Arial"/>
                  <w:color w:val="0563C1"/>
                  <w:sz w:val="22"/>
                  <w:szCs w:val="22"/>
                </w:rPr>
                <w:t>EU Regulation 2022/2065</w:t>
              </w:r>
            </w:hyperlink>
            <w:r w:rsidRPr="00D5095D">
              <w:rPr>
                <w:rStyle w:val="normaltextrun"/>
                <w:rFonts w:ascii="Arial" w:eastAsiaTheme="majorEastAsia" w:hAnsi="Arial" w:cs="Arial"/>
                <w:sz w:val="22"/>
                <w:szCs w:val="22"/>
              </w:rPr>
              <w:t>) are directly enforceable in</w:t>
            </w:r>
            <w:r>
              <w:rPr>
                <w:rStyle w:val="normaltextrun"/>
                <w:rFonts w:ascii="Arial" w:eastAsiaTheme="majorEastAsia" w:hAnsi="Arial" w:cs="Arial"/>
                <w:sz w:val="22"/>
                <w:szCs w:val="22"/>
              </w:rPr>
              <w:t xml:space="preserve"> Latvia.</w:t>
            </w:r>
          </w:p>
        </w:tc>
      </w:tr>
      <w:tr w:rsidR="00703A7B" w:rsidRPr="00D5095D"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D5095D" w:rsidRDefault="00703A7B" w:rsidP="00CB46D4">
            <w:pPr>
              <w:rPr>
                <w:color w:val="3A3A3A" w:themeColor="background2" w:themeShade="40"/>
              </w:rPr>
            </w:pPr>
            <w:r w:rsidRPr="00D5095D">
              <w:rPr>
                <w:color w:val="747474" w:themeColor="background2" w:themeShade="80"/>
              </w:rPr>
              <w:lastRenderedPageBreak/>
              <w:t>3.2</w:t>
            </w:r>
          </w:p>
        </w:tc>
        <w:tc>
          <w:tcPr>
            <w:tcW w:w="2126" w:type="dxa"/>
          </w:tcPr>
          <w:p w14:paraId="437C0DF8" w14:textId="5BFAECA1" w:rsidR="00703A7B" w:rsidRPr="00D5095D"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Major legislation</w:t>
            </w:r>
          </w:p>
        </w:tc>
        <w:tc>
          <w:tcPr>
            <w:tcW w:w="2127" w:type="dxa"/>
          </w:tcPr>
          <w:p w14:paraId="0930BA04" w14:textId="77777777" w:rsidR="00703A7B" w:rsidRPr="00D5095D"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75AD055" w14:textId="77777777" w:rsidR="00631991" w:rsidRPr="00631991" w:rsidRDefault="00000000" w:rsidP="00631991">
            <w:pPr>
              <w:pStyle w:val="ListParagraph"/>
              <w:numPr>
                <w:ilvl w:val="0"/>
                <w:numId w:val="19"/>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37" w:tgtFrame="_blank" w:history="1">
              <w:r w:rsidR="00631991" w:rsidRPr="00631991">
                <w:rPr>
                  <w:rFonts w:eastAsia="Times New Roman"/>
                  <w:color w:val="0563C1"/>
                  <w:u w:val="single"/>
                  <w:lang w:eastAsia="en-GB"/>
                </w:rPr>
                <w:t>On the Press and Other Mass Media 1991</w:t>
              </w:r>
            </w:hyperlink>
            <w:r w:rsidR="00631991" w:rsidRPr="00631991">
              <w:rPr>
                <w:rFonts w:eastAsia="Times New Roman"/>
                <w:lang w:eastAsia="en-GB"/>
              </w:rPr>
              <w:t xml:space="preserve"> (Par presi un citiem masu informācijas līdzekļiem). </w:t>
            </w:r>
          </w:p>
          <w:p w14:paraId="11F71843" w14:textId="77777777" w:rsidR="00631991" w:rsidRPr="00631991" w:rsidRDefault="00000000" w:rsidP="00631991">
            <w:pPr>
              <w:pStyle w:val="ListParagraph"/>
              <w:numPr>
                <w:ilvl w:val="0"/>
                <w:numId w:val="19"/>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38" w:tgtFrame="_blank" w:history="1">
              <w:r w:rsidR="00631991" w:rsidRPr="00631991">
                <w:rPr>
                  <w:rFonts w:eastAsia="Times New Roman"/>
                  <w:color w:val="0563C1"/>
                  <w:u w:val="single"/>
                  <w:lang w:eastAsia="en-GB"/>
                </w:rPr>
                <w:t>The Electronic Mass Media Law 2010</w:t>
              </w:r>
            </w:hyperlink>
            <w:r w:rsidR="00631991" w:rsidRPr="00631991">
              <w:rPr>
                <w:rFonts w:eastAsia="Times New Roman"/>
                <w:lang w:eastAsia="en-GB"/>
              </w:rPr>
              <w:t xml:space="preserve"> (Elektronisko plašsaziņas līdzekļu likums). </w:t>
            </w:r>
          </w:p>
          <w:p w14:paraId="4F6A6B7A" w14:textId="77777777" w:rsidR="00631991" w:rsidRPr="00631991" w:rsidRDefault="00000000" w:rsidP="00631991">
            <w:pPr>
              <w:pStyle w:val="ListParagraph"/>
              <w:numPr>
                <w:ilvl w:val="0"/>
                <w:numId w:val="19"/>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39" w:tgtFrame="_blank" w:history="1">
              <w:r w:rsidR="00631991" w:rsidRPr="00631991">
                <w:rPr>
                  <w:rFonts w:eastAsia="Times New Roman"/>
                  <w:color w:val="0563C1"/>
                  <w:u w:val="single"/>
                  <w:lang w:eastAsia="en-GB"/>
                </w:rPr>
                <w:t>The Electronic Communications Law 2022</w:t>
              </w:r>
            </w:hyperlink>
            <w:r w:rsidR="00631991" w:rsidRPr="00631991">
              <w:rPr>
                <w:rFonts w:eastAsia="Times New Roman"/>
                <w:lang w:eastAsia="en-GB"/>
              </w:rPr>
              <w:t xml:space="preserve"> (Elektronisko sakaru likums). </w:t>
            </w:r>
          </w:p>
          <w:p w14:paraId="40A9F672" w14:textId="77777777" w:rsidR="00631991" w:rsidRPr="00631991" w:rsidRDefault="00000000" w:rsidP="00631991">
            <w:pPr>
              <w:pStyle w:val="ListParagraph"/>
              <w:numPr>
                <w:ilvl w:val="0"/>
                <w:numId w:val="19"/>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0" w:tgtFrame="_blank" w:history="1">
              <w:r w:rsidR="00631991" w:rsidRPr="00631991">
                <w:rPr>
                  <w:rFonts w:eastAsia="Times New Roman"/>
                  <w:color w:val="0563C1"/>
                  <w:u w:val="single"/>
                  <w:lang w:eastAsia="en-GB"/>
                </w:rPr>
                <w:t>The Law on Public Electronic Mass Media and Administration Thereof 2021</w:t>
              </w:r>
            </w:hyperlink>
            <w:r w:rsidR="00631991" w:rsidRPr="00631991">
              <w:rPr>
                <w:rFonts w:eastAsia="Times New Roman"/>
                <w:lang w:eastAsia="en-GB"/>
              </w:rPr>
              <w:t xml:space="preserve"> (Sabiedrisko elektronisko plašsaziņas līdzekļu un to pārvaldības likums) The latest amendment was introduced in 2024: </w:t>
            </w:r>
            <w:hyperlink r:id="rId41" w:tgtFrame="_blank" w:history="1">
              <w:r w:rsidR="00631991" w:rsidRPr="00631991">
                <w:rPr>
                  <w:rFonts w:eastAsia="Times New Roman"/>
                  <w:color w:val="0563C1"/>
                  <w:u w:val="single"/>
                  <w:lang w:eastAsia="en-GB"/>
                </w:rPr>
                <w:t>Amendments to Public Electronic Media and Their Management Law</w:t>
              </w:r>
            </w:hyperlink>
            <w:r w:rsidR="00631991" w:rsidRPr="00631991">
              <w:rPr>
                <w:rFonts w:eastAsia="Times New Roman"/>
                <w:lang w:eastAsia="en-GB"/>
              </w:rPr>
              <w:t>. </w:t>
            </w:r>
          </w:p>
          <w:p w14:paraId="5360460F" w14:textId="77777777" w:rsidR="00631991" w:rsidRPr="00631991" w:rsidRDefault="00000000" w:rsidP="00631991">
            <w:pPr>
              <w:pStyle w:val="ListParagraph"/>
              <w:numPr>
                <w:ilvl w:val="0"/>
                <w:numId w:val="19"/>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2" w:tgtFrame="_blank" w:history="1">
              <w:r w:rsidR="00631991" w:rsidRPr="00631991">
                <w:rPr>
                  <w:rFonts w:eastAsia="Times New Roman"/>
                  <w:color w:val="0563C1"/>
                  <w:u w:val="single"/>
                  <w:lang w:eastAsia="en-GB"/>
                </w:rPr>
                <w:t>The Competition Law 2002</w:t>
              </w:r>
            </w:hyperlink>
            <w:r w:rsidR="00631991" w:rsidRPr="00631991">
              <w:rPr>
                <w:rFonts w:eastAsia="Times New Roman"/>
                <w:lang w:eastAsia="en-GB"/>
              </w:rPr>
              <w:t xml:space="preserve"> (Konkurences likums). </w:t>
            </w:r>
          </w:p>
          <w:p w14:paraId="2F6C94B4" w14:textId="77777777" w:rsidR="00631991" w:rsidRPr="00631991" w:rsidRDefault="00000000" w:rsidP="00631991">
            <w:pPr>
              <w:pStyle w:val="ListParagraph"/>
              <w:numPr>
                <w:ilvl w:val="0"/>
                <w:numId w:val="19"/>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3" w:tgtFrame="_blank" w:history="1">
              <w:r w:rsidR="00631991" w:rsidRPr="00631991">
                <w:rPr>
                  <w:rFonts w:eastAsia="Times New Roman"/>
                  <w:color w:val="0563C1"/>
                  <w:u w:val="single"/>
                  <w:lang w:eastAsia="en-GB"/>
                </w:rPr>
                <w:t>The Commercial Law 2002</w:t>
              </w:r>
            </w:hyperlink>
            <w:r w:rsidR="00631991" w:rsidRPr="00631991">
              <w:rPr>
                <w:rFonts w:eastAsia="Times New Roman"/>
                <w:lang w:eastAsia="en-GB"/>
              </w:rPr>
              <w:t xml:space="preserve"> (Komerclikums). </w:t>
            </w:r>
          </w:p>
          <w:p w14:paraId="73917C67" w14:textId="77777777" w:rsidR="00631991" w:rsidRPr="00631991" w:rsidRDefault="00000000" w:rsidP="00631991">
            <w:pPr>
              <w:pStyle w:val="ListParagraph"/>
              <w:numPr>
                <w:ilvl w:val="0"/>
                <w:numId w:val="19"/>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4" w:tgtFrame="_blank" w:history="1">
              <w:r w:rsidR="00631991" w:rsidRPr="00631991">
                <w:rPr>
                  <w:rFonts w:eastAsia="Times New Roman"/>
                  <w:color w:val="0563C1"/>
                  <w:u w:val="single"/>
                  <w:lang w:eastAsia="en-GB"/>
                </w:rPr>
                <w:t>The Consumer Rights Protection Law 1999</w:t>
              </w:r>
            </w:hyperlink>
            <w:r w:rsidR="00631991" w:rsidRPr="00631991">
              <w:rPr>
                <w:rFonts w:eastAsia="Times New Roman"/>
                <w:lang w:eastAsia="en-GB"/>
              </w:rPr>
              <w:t xml:space="preserve"> (Patērētāju tiesību aizsardzības likums). </w:t>
            </w:r>
          </w:p>
          <w:p w14:paraId="2D5CD38B" w14:textId="1CDC4650" w:rsidR="00703A7B" w:rsidRPr="00631991" w:rsidRDefault="00631991" w:rsidP="00631991">
            <w:pPr>
              <w:pStyle w:val="ListParagraph"/>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31991">
              <w:rPr>
                <w:rFonts w:eastAsia="Times New Roman"/>
                <w:color w:val="000000"/>
                <w:lang w:eastAsia="en-GB"/>
              </w:rPr>
              <w:t>(Rožukalne 2023). </w:t>
            </w:r>
          </w:p>
        </w:tc>
      </w:tr>
      <w:tr w:rsidR="00703A7B" w:rsidRPr="00D5095D"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D5095D" w:rsidRDefault="00703A7B" w:rsidP="00CB46D4">
            <w:pPr>
              <w:rPr>
                <w:color w:val="747474" w:themeColor="background2" w:themeShade="80"/>
              </w:rPr>
            </w:pPr>
            <w:r w:rsidRPr="00D5095D">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D5095D"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Regulatory Authorities</w:t>
            </w:r>
          </w:p>
        </w:tc>
        <w:tc>
          <w:tcPr>
            <w:tcW w:w="2127" w:type="dxa"/>
            <w:tcBorders>
              <w:top w:val="none" w:sz="0" w:space="0" w:color="auto"/>
              <w:bottom w:val="none" w:sz="0" w:space="0" w:color="auto"/>
            </w:tcBorders>
          </w:tcPr>
          <w:p w14:paraId="3C1830EA" w14:textId="77777777" w:rsidR="00703A7B" w:rsidRPr="00942B24"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D0C516D" w14:textId="6D9BD7E9" w:rsidR="00942B24" w:rsidRPr="00E97C4D" w:rsidRDefault="00000000" w:rsidP="00942B2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45" w:tgtFrame="_blank" w:history="1">
              <w:r w:rsidR="00942B24">
                <w:rPr>
                  <w:rStyle w:val="normaltextrun"/>
                  <w:rFonts w:ascii="Arial" w:eastAsiaTheme="majorEastAsia" w:hAnsi="Arial" w:cs="Arial"/>
                  <w:color w:val="0563C1"/>
                  <w:sz w:val="22"/>
                  <w:szCs w:val="22"/>
                  <w:u w:val="single"/>
                </w:rPr>
                <w:t>N</w:t>
              </w:r>
              <w:r w:rsidR="00942B24">
                <w:rPr>
                  <w:rStyle w:val="normaltextrun"/>
                  <w:rFonts w:ascii="Arial" w:eastAsiaTheme="majorEastAsia" w:hAnsi="Arial" w:cs="Arial"/>
                  <w:color w:val="0563C1"/>
                  <w:u w:val="single"/>
                </w:rPr>
                <w:t>a</w:t>
              </w:r>
              <w:r w:rsidR="00942B24" w:rsidRPr="00942B24">
                <w:rPr>
                  <w:rStyle w:val="normaltextrun"/>
                  <w:rFonts w:ascii="Arial" w:eastAsiaTheme="majorEastAsia" w:hAnsi="Arial" w:cs="Arial"/>
                  <w:color w:val="0563C1"/>
                  <w:sz w:val="22"/>
                  <w:szCs w:val="22"/>
                  <w:u w:val="single"/>
                </w:rPr>
                <w:t>tional Electronic Mass Media Council</w:t>
              </w:r>
            </w:hyperlink>
            <w:r w:rsidR="00942B24" w:rsidRPr="00942B24">
              <w:rPr>
                <w:rStyle w:val="normaltextrun"/>
                <w:rFonts w:ascii="Arial" w:eastAsiaTheme="majorEastAsia" w:hAnsi="Arial" w:cs="Arial"/>
                <w:sz w:val="22"/>
                <w:szCs w:val="22"/>
              </w:rPr>
              <w:t xml:space="preserve"> (Nacionālā </w:t>
            </w:r>
            <w:r w:rsidR="00942B24" w:rsidRPr="00E97C4D">
              <w:rPr>
                <w:rStyle w:val="normaltextrun"/>
                <w:rFonts w:ascii="Arial" w:eastAsiaTheme="majorEastAsia" w:hAnsi="Arial" w:cs="Arial"/>
                <w:sz w:val="22"/>
                <w:szCs w:val="22"/>
              </w:rPr>
              <w:t>elektronisko plašsaziņas līdzekļu padome - NEPLP)</w:t>
            </w:r>
            <w:r w:rsidR="00E97C4D">
              <w:rPr>
                <w:rStyle w:val="normaltextrun"/>
                <w:rFonts w:ascii="Arial" w:eastAsiaTheme="majorEastAsia" w:hAnsi="Arial" w:cs="Arial"/>
                <w:sz w:val="22"/>
                <w:szCs w:val="22"/>
              </w:rPr>
              <w:t>.</w:t>
            </w:r>
          </w:p>
          <w:p w14:paraId="3EF044CD" w14:textId="77777777" w:rsidR="00E97C4D" w:rsidRDefault="00E97C4D" w:rsidP="00942B2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p w14:paraId="4CFE0F1E" w14:textId="4D0636DB" w:rsidR="00E97C4D" w:rsidRPr="00E97C4D" w:rsidRDefault="00000000" w:rsidP="00942B2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rPr>
            </w:pPr>
            <w:hyperlink r:id="rId46" w:tgtFrame="_blank" w:history="1">
              <w:r w:rsidR="00942B24" w:rsidRPr="00E97C4D">
                <w:rPr>
                  <w:rStyle w:val="normaltextrun"/>
                  <w:rFonts w:ascii="Arial" w:eastAsiaTheme="majorEastAsia" w:hAnsi="Arial" w:cs="Arial"/>
                  <w:color w:val="0563C1"/>
                  <w:sz w:val="22"/>
                  <w:szCs w:val="22"/>
                  <w:u w:val="single"/>
                </w:rPr>
                <w:t>Public Service Media Council</w:t>
              </w:r>
            </w:hyperlink>
            <w:r w:rsidR="00E97C4D" w:rsidRPr="00E97C4D">
              <w:rPr>
                <w:rFonts w:ascii="Arial" w:hAnsi="Arial" w:cs="Arial"/>
                <w:sz w:val="22"/>
                <w:szCs w:val="22"/>
              </w:rPr>
              <w:t xml:space="preserve"> </w:t>
            </w:r>
            <w:r w:rsidR="00E97C4D">
              <w:rPr>
                <w:rFonts w:ascii="Arial" w:hAnsi="Arial" w:cs="Arial"/>
                <w:sz w:val="22"/>
                <w:szCs w:val="22"/>
              </w:rPr>
              <w:t>(</w:t>
            </w:r>
            <w:r w:rsidR="00E97C4D" w:rsidRPr="00E97C4D">
              <w:rPr>
                <w:rFonts w:ascii="Arial" w:hAnsi="Arial" w:cs="Arial"/>
                <w:sz w:val="22"/>
                <w:szCs w:val="22"/>
              </w:rPr>
              <w:t>Sabiedrisko elektronisko plašsaziņas līdzekļu padome</w:t>
            </w:r>
            <w:r w:rsidR="00E97C4D">
              <w:rPr>
                <w:rFonts w:ascii="Arial" w:hAnsi="Arial" w:cs="Arial"/>
                <w:sz w:val="22"/>
                <w:szCs w:val="22"/>
              </w:rPr>
              <w:t>)</w:t>
            </w:r>
            <w:r w:rsidR="00E97C4D" w:rsidRPr="00E97C4D">
              <w:rPr>
                <w:rFonts w:ascii="Arial" w:hAnsi="Arial" w:cs="Arial"/>
                <w:sz w:val="22"/>
                <w:szCs w:val="22"/>
              </w:rPr>
              <w:t xml:space="preserve"> is an independent institution whic</w:t>
            </w:r>
            <w:r w:rsidR="00E97C4D">
              <w:rPr>
                <w:rFonts w:ascii="Arial" w:hAnsi="Arial" w:cs="Arial"/>
                <w:sz w:val="22"/>
                <w:szCs w:val="22"/>
              </w:rPr>
              <w:t xml:space="preserve">h </w:t>
            </w:r>
            <w:r w:rsidR="00E97C4D" w:rsidRPr="00E97C4D">
              <w:rPr>
                <w:rFonts w:ascii="Arial" w:hAnsi="Arial" w:cs="Arial"/>
                <w:sz w:val="22"/>
                <w:szCs w:val="22"/>
              </w:rPr>
              <w:t>represents public interests in the field of electronic mass media.</w:t>
            </w:r>
          </w:p>
          <w:p w14:paraId="07196591" w14:textId="02734295" w:rsidR="00703A7B" w:rsidRPr="00942B24" w:rsidRDefault="00703A7B" w:rsidP="00942B2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r>
      <w:tr w:rsidR="00703A7B" w:rsidRPr="00D5095D"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D5095D" w:rsidRDefault="00703A7B" w:rsidP="00CB46D4">
            <w:pPr>
              <w:rPr>
                <w:color w:val="747474" w:themeColor="background2" w:themeShade="80"/>
              </w:rPr>
            </w:pPr>
            <w:r w:rsidRPr="00D5095D">
              <w:rPr>
                <w:color w:val="747474" w:themeColor="background2" w:themeShade="80"/>
              </w:rPr>
              <w:t>3.4</w:t>
            </w:r>
          </w:p>
        </w:tc>
        <w:tc>
          <w:tcPr>
            <w:tcW w:w="2126" w:type="dxa"/>
          </w:tcPr>
          <w:p w14:paraId="2D2156D6" w14:textId="1ECD2D01" w:rsidR="00703A7B" w:rsidRPr="00D5095D"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Co-regulation</w:t>
            </w:r>
          </w:p>
        </w:tc>
        <w:tc>
          <w:tcPr>
            <w:tcW w:w="2127" w:type="dxa"/>
          </w:tcPr>
          <w:p w14:paraId="730D169F" w14:textId="77777777" w:rsidR="00703A7B" w:rsidRPr="00D5095D"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77777777" w:rsidR="00703A7B" w:rsidRPr="00D5095D" w:rsidRDefault="00703A7B" w:rsidP="00CB46D4">
            <w:pPr>
              <w:cnfStyle w:val="000000000000" w:firstRow="0" w:lastRow="0" w:firstColumn="0" w:lastColumn="0" w:oddVBand="0" w:evenVBand="0" w:oddHBand="0" w:evenHBand="0" w:firstRowFirstColumn="0" w:firstRowLastColumn="0" w:lastRowFirstColumn="0" w:lastRowLastColumn="0"/>
            </w:pPr>
          </w:p>
        </w:tc>
      </w:tr>
      <w:tr w:rsidR="00703A7B" w:rsidRPr="00D5095D"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D5095D" w:rsidRDefault="00703A7B" w:rsidP="00CB46D4">
            <w:pPr>
              <w:rPr>
                <w:color w:val="747474" w:themeColor="background2" w:themeShade="80"/>
              </w:rPr>
            </w:pPr>
            <w:r w:rsidRPr="00D5095D">
              <w:rPr>
                <w:color w:val="747474" w:themeColor="background2" w:themeShade="80"/>
              </w:rPr>
              <w:lastRenderedPageBreak/>
              <w:t>3.5</w:t>
            </w:r>
          </w:p>
        </w:tc>
        <w:tc>
          <w:tcPr>
            <w:tcW w:w="2126" w:type="dxa"/>
            <w:tcBorders>
              <w:top w:val="none" w:sz="0" w:space="0" w:color="auto"/>
              <w:bottom w:val="none" w:sz="0" w:space="0" w:color="auto"/>
            </w:tcBorders>
          </w:tcPr>
          <w:p w14:paraId="303FC5E1" w14:textId="3BF34C5C" w:rsidR="00703A7B" w:rsidRPr="00D5095D"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Self-regulation</w:t>
            </w:r>
          </w:p>
        </w:tc>
        <w:tc>
          <w:tcPr>
            <w:tcW w:w="2127" w:type="dxa"/>
            <w:tcBorders>
              <w:top w:val="none" w:sz="0" w:space="0" w:color="auto"/>
              <w:bottom w:val="none" w:sz="0" w:space="0" w:color="auto"/>
            </w:tcBorders>
          </w:tcPr>
          <w:p w14:paraId="199710D2" w14:textId="77777777" w:rsidR="00703A7B" w:rsidRPr="00D5095D"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36D1816" w14:textId="5D1C0C51" w:rsidR="00703A7B" w:rsidRPr="001D3882" w:rsidRDefault="00000000" w:rsidP="00E97C4D">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47" w:history="1">
              <w:r w:rsidR="001D3882" w:rsidRPr="001D3882">
                <w:rPr>
                  <w:rStyle w:val="Hyperlink"/>
                  <w:rFonts w:ascii="Arial" w:hAnsi="Arial" w:cs="Arial"/>
                  <w:sz w:val="22"/>
                  <w:szCs w:val="22"/>
                </w:rPr>
                <w:t>The Latvian Media Ethics Council</w:t>
              </w:r>
            </w:hyperlink>
            <w:r w:rsidR="001D3882">
              <w:rPr>
                <w:rFonts w:ascii="Arial" w:hAnsi="Arial" w:cs="Arial"/>
                <w:sz w:val="22"/>
                <w:szCs w:val="22"/>
              </w:rPr>
              <w:t xml:space="preserve"> was established in</w:t>
            </w:r>
            <w:r w:rsidR="001D3882" w:rsidRPr="001D3882">
              <w:rPr>
                <w:rFonts w:ascii="Arial" w:hAnsi="Arial" w:cs="Arial"/>
                <w:sz w:val="22"/>
                <w:szCs w:val="22"/>
              </w:rPr>
              <w:t xml:space="preserve"> 2018</w:t>
            </w:r>
            <w:r w:rsidR="001D3882">
              <w:rPr>
                <w:rFonts w:ascii="Arial" w:hAnsi="Arial" w:cs="Arial"/>
                <w:sz w:val="22"/>
                <w:szCs w:val="22"/>
              </w:rPr>
              <w:t xml:space="preserve"> </w:t>
            </w:r>
            <w:r w:rsidR="001D3882" w:rsidRPr="001D3882">
              <w:rPr>
                <w:rFonts w:ascii="Arial" w:hAnsi="Arial" w:cs="Arial"/>
                <w:sz w:val="22"/>
                <w:szCs w:val="22"/>
              </w:rPr>
              <w:t>by fifteen media industry associations and companies.</w:t>
            </w:r>
            <w:r w:rsidR="00E97C4D">
              <w:rPr>
                <w:rFonts w:ascii="Arial" w:hAnsi="Arial" w:cs="Arial"/>
                <w:sz w:val="22"/>
                <w:szCs w:val="22"/>
              </w:rPr>
              <w:t xml:space="preserve"> As of 2024, the association has </w:t>
            </w:r>
            <w:r w:rsidR="001D3882" w:rsidRPr="001D3882">
              <w:rPr>
                <w:rFonts w:ascii="Arial" w:hAnsi="Arial" w:cs="Arial"/>
                <w:sz w:val="22"/>
                <w:szCs w:val="22"/>
              </w:rPr>
              <w:t>47 members</w:t>
            </w:r>
            <w:r w:rsidR="00E97C4D">
              <w:rPr>
                <w:rFonts w:ascii="Arial" w:hAnsi="Arial" w:cs="Arial"/>
                <w:sz w:val="22"/>
                <w:szCs w:val="22"/>
              </w:rPr>
              <w:t xml:space="preserve"> who </w:t>
            </w:r>
            <w:r w:rsidR="001D3882" w:rsidRPr="001D3882">
              <w:rPr>
                <w:rFonts w:ascii="Arial" w:hAnsi="Arial" w:cs="Arial"/>
                <w:sz w:val="22"/>
                <w:szCs w:val="22"/>
              </w:rPr>
              <w:t xml:space="preserve">represent all forms </w:t>
            </w:r>
            <w:r w:rsidR="00E97C4D">
              <w:rPr>
                <w:rFonts w:ascii="Arial" w:hAnsi="Arial" w:cs="Arial"/>
                <w:sz w:val="22"/>
                <w:szCs w:val="22"/>
              </w:rPr>
              <w:t>of</w:t>
            </w:r>
            <w:r w:rsidR="001D3882" w:rsidRPr="001D3882">
              <w:rPr>
                <w:rFonts w:ascii="Arial" w:hAnsi="Arial" w:cs="Arial"/>
                <w:sz w:val="22"/>
                <w:szCs w:val="22"/>
              </w:rPr>
              <w:t xml:space="preserve"> media, media associations and organisations that are active in media research.</w:t>
            </w:r>
          </w:p>
        </w:tc>
      </w:tr>
      <w:tr w:rsidR="00703A7B" w:rsidRPr="00D5095D"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D5095D" w:rsidRDefault="00703A7B" w:rsidP="00CB46D4">
            <w:pPr>
              <w:rPr>
                <w:color w:val="747474" w:themeColor="background2" w:themeShade="80"/>
              </w:rPr>
            </w:pPr>
            <w:r w:rsidRPr="00D5095D">
              <w:rPr>
                <w:color w:val="747474" w:themeColor="background2" w:themeShade="80"/>
              </w:rPr>
              <w:t>3.6</w:t>
            </w:r>
          </w:p>
        </w:tc>
        <w:tc>
          <w:tcPr>
            <w:tcW w:w="2126" w:type="dxa"/>
          </w:tcPr>
          <w:p w14:paraId="2D39B313" w14:textId="366BF0B1" w:rsidR="00703A7B" w:rsidRPr="00D5095D"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 xml:space="preserve">Regulatory Environment </w:t>
            </w:r>
            <w:r w:rsidRPr="00D5095D">
              <w:br/>
              <w:t>(2020-2025)</w:t>
            </w:r>
          </w:p>
        </w:tc>
        <w:tc>
          <w:tcPr>
            <w:tcW w:w="2127" w:type="dxa"/>
          </w:tcPr>
          <w:p w14:paraId="1997B732" w14:textId="77777777" w:rsidR="00703A7B" w:rsidRPr="00D5095D"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7777777" w:rsidR="00703A7B" w:rsidRPr="00D5095D" w:rsidRDefault="00703A7B" w:rsidP="00CB46D4">
            <w:pPr>
              <w:cnfStyle w:val="000000000000" w:firstRow="0" w:lastRow="0" w:firstColumn="0" w:lastColumn="0" w:oddVBand="0" w:evenVBand="0" w:oddHBand="0" w:evenHBand="0" w:firstRowFirstColumn="0" w:firstRowLastColumn="0" w:lastRowFirstColumn="0" w:lastRowLastColumn="0"/>
            </w:pPr>
          </w:p>
        </w:tc>
      </w:tr>
    </w:tbl>
    <w:p w14:paraId="43FBC9B1" w14:textId="77777777" w:rsidR="004F0B6F" w:rsidRPr="00D5095D" w:rsidRDefault="004F0B6F" w:rsidP="004F0B6F">
      <w:pPr>
        <w:pStyle w:val="SubtitleH2"/>
        <w:rPr>
          <w:rFonts w:eastAsiaTheme="minorEastAsia"/>
          <w:iCs/>
          <w:color w:val="000000" w:themeColor="text1"/>
          <w:sz w:val="24"/>
          <w:szCs w:val="24"/>
          <w:shd w:val="clear" w:color="auto" w:fill="auto"/>
        </w:rPr>
      </w:pPr>
      <w:r w:rsidRPr="00D5095D">
        <w:t>Sections 4-5 Advertising Framework</w:t>
      </w:r>
    </w:p>
    <w:p w14:paraId="06A0F993" w14:textId="3D10AE4E" w:rsidR="006C07EB" w:rsidRPr="00D5095D" w:rsidRDefault="005F3475" w:rsidP="00955813">
      <w:pPr>
        <w:pStyle w:val="SectionHead"/>
        <w:rPr>
          <w:rFonts w:cs="Arial"/>
        </w:rPr>
      </w:pPr>
      <w:bookmarkStart w:id="7" w:name="_Toc170216091"/>
      <w:r w:rsidRPr="00D5095D">
        <w:rPr>
          <w:rFonts w:cs="Arial"/>
        </w:rPr>
        <w:t>Advertising:  Legal and Regulatory Framework</w:t>
      </w:r>
      <w:bookmarkEnd w:id="7"/>
      <w:r w:rsidRPr="00D5095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D5095D"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D5095D" w:rsidRDefault="006C07EB" w:rsidP="00CB46D4">
            <w:pPr>
              <w:pStyle w:val="Tableheadings"/>
              <w:spacing w:line="240" w:lineRule="auto"/>
              <w:rPr>
                <w:b/>
                <w:bCs/>
              </w:rPr>
            </w:pPr>
            <w:r w:rsidRPr="00D5095D">
              <w:rPr>
                <w:b/>
                <w:bCs/>
              </w:rPr>
              <w:t>Item</w:t>
            </w:r>
          </w:p>
        </w:tc>
        <w:tc>
          <w:tcPr>
            <w:tcW w:w="2126" w:type="dxa"/>
            <w:tcBorders>
              <w:bottom w:val="none" w:sz="0" w:space="0" w:color="auto"/>
            </w:tcBorders>
          </w:tcPr>
          <w:p w14:paraId="70CBE5FA" w14:textId="77777777" w:rsidR="006C07EB" w:rsidRPr="00D5095D"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5942A5A0" w14:textId="77777777" w:rsidR="006C07EB" w:rsidRPr="00D5095D"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 xml:space="preserve">Classification </w:t>
            </w:r>
          </w:p>
        </w:tc>
        <w:tc>
          <w:tcPr>
            <w:tcW w:w="5670" w:type="dxa"/>
            <w:tcBorders>
              <w:bottom w:val="none" w:sz="0" w:space="0" w:color="auto"/>
            </w:tcBorders>
          </w:tcPr>
          <w:p w14:paraId="6CD8C410" w14:textId="77777777" w:rsidR="006C07EB" w:rsidRPr="00D5095D"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Description</w:t>
            </w:r>
          </w:p>
        </w:tc>
      </w:tr>
      <w:tr w:rsidR="006C07EB" w:rsidRPr="00D5095D"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D5095D" w:rsidRDefault="005F3475" w:rsidP="00CB46D4">
            <w:pPr>
              <w:rPr>
                <w:b w:val="0"/>
                <w:bCs w:val="0"/>
                <w:color w:val="747474" w:themeColor="background2" w:themeShade="80"/>
              </w:rPr>
            </w:pPr>
            <w:r w:rsidRPr="00D5095D">
              <w:rPr>
                <w:color w:val="747474" w:themeColor="background2" w:themeShade="80"/>
              </w:rPr>
              <w:t>4</w:t>
            </w:r>
            <w:r w:rsidR="006C07EB" w:rsidRPr="00D5095D">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D5095D"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How is advertising regulated in [Country]?</w:t>
            </w:r>
          </w:p>
        </w:tc>
        <w:tc>
          <w:tcPr>
            <w:tcW w:w="2127" w:type="dxa"/>
            <w:tcBorders>
              <w:top w:val="none" w:sz="0" w:space="0" w:color="auto"/>
              <w:bottom w:val="none" w:sz="0" w:space="0" w:color="auto"/>
            </w:tcBorders>
          </w:tcPr>
          <w:p w14:paraId="03EF38DB" w14:textId="77777777" w:rsidR="006C07EB" w:rsidRPr="00D5095D"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1E92259E" w:rsidR="00942B24" w:rsidRPr="00E27C35" w:rsidRDefault="00D3084C" w:rsidP="00E27C3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B40D7">
              <w:rPr>
                <w:rStyle w:val="normaltextrun"/>
                <w:color w:val="000000"/>
                <w:shd w:val="clear" w:color="auto" w:fill="FFFFFF"/>
              </w:rPr>
              <w:t>As a member state of the EU,</w:t>
            </w:r>
            <w:r w:rsidR="00FB40D7" w:rsidRPr="00FB40D7">
              <w:rPr>
                <w:rStyle w:val="normaltextrun"/>
                <w:color w:val="000000"/>
                <w:shd w:val="clear" w:color="auto" w:fill="FFFFFF"/>
              </w:rPr>
              <w:t xml:space="preserve"> Latvia</w:t>
            </w:r>
            <w:r w:rsidRPr="00FB40D7">
              <w:rPr>
                <w:rStyle w:val="normaltextrun"/>
                <w:color w:val="000000"/>
                <w:shd w:val="clear" w:color="auto" w:fill="FFFFFF"/>
              </w:rPr>
              <w:t xml:space="preserve"> is subject to European Union laws and regulation concerning marketing communications. In </w:t>
            </w:r>
            <w:r w:rsidR="00FB40D7" w:rsidRPr="00FB40D7">
              <w:rPr>
                <w:rStyle w:val="normaltextrun"/>
                <w:color w:val="000000"/>
                <w:shd w:val="clear" w:color="auto" w:fill="FFFFFF"/>
              </w:rPr>
              <w:t xml:space="preserve">Latvia </w:t>
            </w:r>
            <w:r w:rsidRPr="00FB40D7">
              <w:rPr>
                <w:rStyle w:val="normaltextrun"/>
                <w:color w:val="000000"/>
                <w:shd w:val="clear" w:color="auto" w:fill="FFFFFF"/>
              </w:rPr>
              <w:t>advertising is regulated through a combination of transposed and directly enforceable EU regulations,</w:t>
            </w:r>
            <w:r w:rsidRPr="00FB40D7">
              <w:rPr>
                <w:rStyle w:val="normaltextrun"/>
                <w:shd w:val="clear" w:color="auto" w:fill="FFFFFF"/>
              </w:rPr>
              <w:t xml:space="preserve"> national legislation</w:t>
            </w:r>
            <w:r w:rsidR="00FB40D7" w:rsidRPr="00FB40D7">
              <w:rPr>
                <w:rStyle w:val="normaltextrun"/>
                <w:shd w:val="clear" w:color="auto" w:fill="FFFFFF"/>
              </w:rPr>
              <w:t>,</w:t>
            </w:r>
            <w:r w:rsidRPr="00FB40D7">
              <w:rPr>
                <w:rStyle w:val="normaltextrun"/>
                <w:shd w:val="clear" w:color="auto" w:fill="FFFFFF"/>
              </w:rPr>
              <w:t xml:space="preserve"> and self-regulatory codes.</w:t>
            </w:r>
            <w:r w:rsidRPr="00FB40D7">
              <w:rPr>
                <w:rStyle w:val="eop"/>
                <w:shd w:val="clear" w:color="auto" w:fill="FFFFFF"/>
              </w:rPr>
              <w:t> </w:t>
            </w:r>
            <w:r w:rsidR="00FB40D7" w:rsidRPr="00FB40D7">
              <w:rPr>
                <w:rStyle w:val="eop"/>
                <w:shd w:val="clear" w:color="auto" w:fill="FFFFFF"/>
              </w:rPr>
              <w:t>A</w:t>
            </w:r>
            <w:r w:rsidR="00FB40D7">
              <w:rPr>
                <w:rStyle w:val="eop"/>
              </w:rPr>
              <w:t xml:space="preserve">ccording to GALA, rules affecting advertising are scattered in between consumer and business protection legislation, media legislation, data protection legislation, and sector specific legislation despite </w:t>
            </w:r>
            <w:r w:rsidR="007179A5">
              <w:rPr>
                <w:rStyle w:val="eop"/>
              </w:rPr>
              <w:t>there also being the general law,</w:t>
            </w:r>
            <w:r w:rsidR="00FB40D7">
              <w:rPr>
                <w:rStyle w:val="eop"/>
              </w:rPr>
              <w:t xml:space="preserve"> </w:t>
            </w:r>
            <w:hyperlink r:id="rId48" w:tgtFrame="_blank" w:history="1">
              <w:r w:rsidR="00FB40D7" w:rsidRPr="00FB40D7">
                <w:rPr>
                  <w:rFonts w:eastAsia="Times New Roman"/>
                  <w:color w:val="0563C1"/>
                  <w:u w:val="single"/>
                  <w:lang w:eastAsia="en-GB"/>
                </w:rPr>
                <w:t>The Advertising Law 2000</w:t>
              </w:r>
            </w:hyperlink>
            <w:r w:rsidR="00FB40D7" w:rsidRPr="00FB40D7">
              <w:rPr>
                <w:rFonts w:eastAsia="Times New Roman"/>
                <w:lang w:eastAsia="en-GB"/>
              </w:rPr>
              <w:t xml:space="preserve"> (Reklāmas likums)</w:t>
            </w:r>
            <w:r w:rsidR="00FB40D7">
              <w:rPr>
                <w:rFonts w:eastAsia="Times New Roman"/>
                <w:lang w:eastAsia="en-GB"/>
              </w:rPr>
              <w:t xml:space="preserve"> </w:t>
            </w:r>
            <w:r w:rsidR="00FB40D7">
              <w:t>(GALA 2024: 652).</w:t>
            </w:r>
            <w:r w:rsidR="00FB40D7" w:rsidRPr="00FB40D7">
              <w:rPr>
                <w:rFonts w:eastAsia="Times New Roman"/>
                <w:lang w:eastAsia="en-GB"/>
              </w:rPr>
              <w:t> </w:t>
            </w:r>
            <w:r w:rsidR="00942B24">
              <w:t xml:space="preserve"> </w:t>
            </w:r>
          </w:p>
        </w:tc>
      </w:tr>
      <w:tr w:rsidR="006C07EB" w:rsidRPr="00D5095D"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D5095D" w:rsidRDefault="005F3475" w:rsidP="00CB46D4">
            <w:pPr>
              <w:rPr>
                <w:color w:val="3A3A3A" w:themeColor="background2" w:themeShade="40"/>
              </w:rPr>
            </w:pPr>
            <w:r w:rsidRPr="00D5095D">
              <w:rPr>
                <w:color w:val="747474" w:themeColor="background2" w:themeShade="80"/>
              </w:rPr>
              <w:t>4</w:t>
            </w:r>
            <w:r w:rsidR="006C07EB" w:rsidRPr="00D5095D">
              <w:rPr>
                <w:color w:val="747474" w:themeColor="background2" w:themeShade="80"/>
              </w:rPr>
              <w:t>.2</w:t>
            </w:r>
          </w:p>
        </w:tc>
        <w:tc>
          <w:tcPr>
            <w:tcW w:w="2126" w:type="dxa"/>
          </w:tcPr>
          <w:p w14:paraId="0A7E753E" w14:textId="3C8D51AE" w:rsidR="006C07EB" w:rsidRPr="00D5095D"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What types of communications are deemed ‘advertising’? How is this determined?</w:t>
            </w:r>
          </w:p>
        </w:tc>
        <w:tc>
          <w:tcPr>
            <w:tcW w:w="2127" w:type="dxa"/>
          </w:tcPr>
          <w:p w14:paraId="3064733D" w14:textId="77777777" w:rsidR="006C07EB" w:rsidRPr="00D5095D"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5E6E75" w14:textId="67B9D997" w:rsidR="00E27C35" w:rsidRDefault="00000000" w:rsidP="00E27C35">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hyperlink r:id="rId49" w:tgtFrame="_blank" w:history="1">
              <w:r w:rsidR="00E27C35" w:rsidRPr="00E27C35">
                <w:rPr>
                  <w:rFonts w:eastAsia="Times New Roman"/>
                  <w:color w:val="0563C1"/>
                  <w:u w:val="single"/>
                  <w:lang w:eastAsia="en-GB"/>
                </w:rPr>
                <w:t>The Advertising Law 2000</w:t>
              </w:r>
            </w:hyperlink>
            <w:r w:rsidR="00E27C35" w:rsidRPr="00E27C35">
              <w:rPr>
                <w:rFonts w:eastAsia="Times New Roman"/>
                <w:lang w:eastAsia="en-GB"/>
              </w:rPr>
              <w:t xml:space="preserve"> (Reklāmas likums)</w:t>
            </w:r>
            <w:r w:rsidR="00E27C35">
              <w:rPr>
                <w:rFonts w:eastAsia="Times New Roman"/>
                <w:lang w:eastAsia="en-GB"/>
              </w:rPr>
              <w:t>, Chapter 1: General Pro</w:t>
            </w:r>
            <w:r w:rsidR="007179A5">
              <w:rPr>
                <w:rFonts w:eastAsia="Times New Roman"/>
                <w:lang w:eastAsia="en-GB"/>
              </w:rPr>
              <w:t>visions, Section 1</w:t>
            </w:r>
            <w:r w:rsidR="00E27C35">
              <w:rPr>
                <w:rFonts w:eastAsia="Times New Roman"/>
                <w:lang w:eastAsia="en-GB"/>
              </w:rPr>
              <w:t xml:space="preserve"> defines </w:t>
            </w:r>
            <w:r w:rsidR="007179A5">
              <w:rPr>
                <w:rFonts w:eastAsia="Times New Roman"/>
                <w:lang w:eastAsia="en-GB"/>
              </w:rPr>
              <w:t>advertising as ‘</w:t>
            </w:r>
            <w:r w:rsidR="007179A5" w:rsidRPr="007179A5">
              <w:rPr>
                <w:rFonts w:eastAsia="Times New Roman"/>
                <w:lang w:eastAsia="en-GB"/>
              </w:rPr>
              <w:t>any form or any mode of announcement or endeavour associated with economic or professional activity, intended to promote the popularity of or demand for goods or services (including immovable property, rights and obligations)</w:t>
            </w:r>
            <w:r w:rsidR="007179A5">
              <w:rPr>
                <w:rFonts w:eastAsia="Times New Roman"/>
                <w:lang w:eastAsia="en-GB"/>
              </w:rPr>
              <w:t>’ [Official translation</w:t>
            </w:r>
            <w:r w:rsidR="007179A5" w:rsidRPr="007179A5">
              <w:rPr>
                <w:rFonts w:eastAsia="Times New Roman"/>
                <w:lang w:eastAsia="en-GB"/>
              </w:rPr>
              <w:t>.</w:t>
            </w:r>
            <w:r w:rsidR="007179A5">
              <w:rPr>
                <w:rFonts w:eastAsia="Times New Roman"/>
                <w:lang w:eastAsia="en-GB"/>
              </w:rPr>
              <w:t xml:space="preserve"> Original: ‘</w:t>
            </w:r>
            <w:r w:rsidR="007179A5" w:rsidRPr="007179A5">
              <w:rPr>
                <w:rFonts w:eastAsia="Times New Roman"/>
                <w:lang w:eastAsia="en-GB"/>
              </w:rPr>
              <w:t>Reklāma ir ar uzņēmējdarbību vai profesionālo darbību saistīts jebkuras formas vai jebkura veida paziņojums vai pasākums, kura nolūks ir veicināt preču vai pakalpojumu (arī nekustamā īpašuma, tiesību un saistību) popularitāti vai pieprasījumu pēc tiem</w:t>
            </w:r>
            <w:r w:rsidR="007179A5">
              <w:rPr>
                <w:rFonts w:eastAsia="Times New Roman"/>
                <w:lang w:eastAsia="en-GB"/>
              </w:rPr>
              <w:t>’]</w:t>
            </w:r>
            <w:r w:rsidR="007179A5" w:rsidRPr="007179A5">
              <w:rPr>
                <w:rFonts w:eastAsia="Times New Roman"/>
                <w:lang w:eastAsia="en-GB"/>
              </w:rPr>
              <w:t>.</w:t>
            </w:r>
          </w:p>
          <w:p w14:paraId="5FDD62BA" w14:textId="4B21507D" w:rsidR="007179A5" w:rsidRDefault="007179A5" w:rsidP="00E27C35">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581999DC" w14:textId="103702A3" w:rsidR="007179A5" w:rsidRPr="00E27C35" w:rsidRDefault="007179A5" w:rsidP="007179A5">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Pr>
                <w:rFonts w:eastAsia="Times New Roman"/>
                <w:lang w:eastAsia="en-GB"/>
              </w:rPr>
              <w:t>According to GALA, t</w:t>
            </w:r>
            <w:r w:rsidRPr="007179A5">
              <w:rPr>
                <w:rFonts w:eastAsia="Times New Roman"/>
                <w:lang w:eastAsia="en-GB"/>
              </w:rPr>
              <w:t>he Supreme Court</w:t>
            </w:r>
            <w:r>
              <w:rPr>
                <w:rFonts w:eastAsia="Times New Roman"/>
                <w:lang w:eastAsia="en-GB"/>
              </w:rPr>
              <w:t xml:space="preserve"> determined that decisions </w:t>
            </w:r>
            <w:r w:rsidR="00B3753C">
              <w:rPr>
                <w:rFonts w:eastAsia="Times New Roman"/>
                <w:lang w:eastAsia="en-GB"/>
              </w:rPr>
              <w:t>regarding</w:t>
            </w:r>
            <w:r>
              <w:rPr>
                <w:rFonts w:eastAsia="Times New Roman"/>
                <w:lang w:eastAsia="en-GB"/>
              </w:rPr>
              <w:t xml:space="preserve"> what </w:t>
            </w:r>
            <w:r w:rsidR="00B3753C">
              <w:rPr>
                <w:rFonts w:eastAsia="Times New Roman"/>
                <w:lang w:eastAsia="en-GB"/>
              </w:rPr>
              <w:t>classifies</w:t>
            </w:r>
            <w:r>
              <w:rPr>
                <w:rFonts w:eastAsia="Times New Roman"/>
                <w:lang w:eastAsia="en-GB"/>
              </w:rPr>
              <w:t xml:space="preserve"> as advertising should be made </w:t>
            </w:r>
            <w:r w:rsidRPr="007179A5">
              <w:rPr>
                <w:rFonts w:eastAsia="Times New Roman"/>
                <w:lang w:eastAsia="en-GB"/>
              </w:rPr>
              <w:t>on a case-by-case basis,</w:t>
            </w:r>
            <w:r>
              <w:rPr>
                <w:rFonts w:eastAsia="Times New Roman"/>
                <w:lang w:eastAsia="en-GB"/>
              </w:rPr>
              <w:t xml:space="preserve"> and consider </w:t>
            </w:r>
            <w:r w:rsidRPr="007179A5">
              <w:rPr>
                <w:rFonts w:eastAsia="Times New Roman"/>
                <w:lang w:eastAsia="en-GB"/>
              </w:rPr>
              <w:t>the intention</w:t>
            </w:r>
            <w:r>
              <w:rPr>
                <w:rFonts w:eastAsia="Times New Roman"/>
                <w:lang w:eastAsia="en-GB"/>
              </w:rPr>
              <w:t xml:space="preserve"> of the message (GALA 2024: </w:t>
            </w:r>
            <w:r w:rsidR="00B3753C">
              <w:rPr>
                <w:rFonts w:eastAsia="Times New Roman"/>
                <w:lang w:eastAsia="en-GB"/>
              </w:rPr>
              <w:t>652).</w:t>
            </w:r>
          </w:p>
          <w:p w14:paraId="4C1FE9F0" w14:textId="77777777" w:rsidR="00E27C35" w:rsidRDefault="00E27C35"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3E4C8455" w14:textId="54BD2713" w:rsidR="00FB40D7" w:rsidRPr="00FB40D7" w:rsidRDefault="00000000"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hyperlink r:id="rId50" w:history="1">
              <w:r w:rsidR="00FB40D7" w:rsidRPr="007179A5">
                <w:rPr>
                  <w:rStyle w:val="Hyperlink"/>
                  <w:shd w:val="clear" w:color="auto" w:fill="FFFFFF"/>
                </w:rPr>
                <w:t>The Latvian Advertising Association</w:t>
              </w:r>
            </w:hyperlink>
            <w:r w:rsidR="00FB40D7" w:rsidRPr="00FB40D7">
              <w:rPr>
                <w:rStyle w:val="normaltextrun"/>
                <w:color w:val="000000"/>
                <w:shd w:val="clear" w:color="auto" w:fill="FFFFFF"/>
              </w:rPr>
              <w:t xml:space="preserve"> defines advertising as ‘any form or any type of announcement or event related to economic or professional activity, the purpose of which is to promote the popularity of goods or services (including real estate, rights and obligations) or [to create] the demand for them. Among them, a message directly expressed in spoken or written text, numbers or signs or, under normal circumstances, understood from individual advertising elements or their set, both about the direct object of the advertisement and about any other issues [Google Translate; the original: Reklāma – ar saimniecisko vai profesionālo darbību saistīts jebkuras formas vai jebkura veida paziņojums vai pasākums, kura nolūks ir veicināt preču vai pakalpojumu (arī nekustamā īpašuma, tiesību un saistību) popularitāti vai pieprasījumu pēc tiem. To starp, runātā vai rakstītā tekstā, skaitļos vai zīmēs tieši izteikts vai arī ierastos apstākļos no atsevišķiem reklāmas elementiem vai to kopuma noprotams vēstījums, kā par tiešo reklāmas objektu, tā arī par jebkuriem citiem jautājumiem.]’ (</w:t>
            </w:r>
            <w:hyperlink r:id="rId51" w:tgtFrame="_blank" w:history="1">
              <w:r w:rsidR="00FB40D7" w:rsidRPr="00FB40D7">
                <w:rPr>
                  <w:rStyle w:val="normaltextrun"/>
                  <w:color w:val="0563C1"/>
                  <w:u w:val="single"/>
                  <w:shd w:val="clear" w:color="auto" w:fill="FFFFFF"/>
                </w:rPr>
                <w:t>Latvian Advertising Association 2014:</w:t>
              </w:r>
            </w:hyperlink>
            <w:r w:rsidR="00FB40D7" w:rsidRPr="00FB40D7">
              <w:rPr>
                <w:rStyle w:val="normaltextrun"/>
                <w:color w:val="000000"/>
                <w:shd w:val="clear" w:color="auto" w:fill="FFFFFF"/>
              </w:rPr>
              <w:t xml:space="preserve"> 1).</w:t>
            </w:r>
            <w:r w:rsidR="00FB40D7" w:rsidRPr="00FB40D7">
              <w:rPr>
                <w:rStyle w:val="eop"/>
                <w:color w:val="000000"/>
                <w:shd w:val="clear" w:color="auto" w:fill="FFFFFF"/>
              </w:rPr>
              <w:t> </w:t>
            </w:r>
          </w:p>
          <w:p w14:paraId="20F24108" w14:textId="77777777" w:rsidR="00FB40D7" w:rsidRPr="00FB40D7" w:rsidRDefault="00FB40D7"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187D7B5C" w:rsidR="006C07EB" w:rsidRPr="00FB40D7" w:rsidRDefault="00D3084C" w:rsidP="00CB46D4">
            <w:pPr>
              <w:cnfStyle w:val="000000000000" w:firstRow="0" w:lastRow="0" w:firstColumn="0" w:lastColumn="0" w:oddVBand="0" w:evenVBand="0" w:oddHBand="0" w:evenHBand="0" w:firstRowFirstColumn="0" w:firstRowLastColumn="0" w:lastRowFirstColumn="0" w:lastRowLastColumn="0"/>
            </w:pPr>
            <w:r w:rsidRPr="00FB40D7">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52" w:tgtFrame="_blank" w:history="1">
              <w:r w:rsidRPr="00FB40D7">
                <w:rPr>
                  <w:rStyle w:val="normaltextrun"/>
                  <w:color w:val="0563C1"/>
                  <w:u w:val="single"/>
                  <w:shd w:val="clear" w:color="auto" w:fill="FFFFFF"/>
                </w:rPr>
                <w:t>Directive 2006/114/EC</w:t>
              </w:r>
            </w:hyperlink>
            <w:r w:rsidRPr="00FB40D7">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53" w:tgtFrame="_blank" w:history="1">
              <w:r w:rsidRPr="00FB40D7">
                <w:rPr>
                  <w:rStyle w:val="normaltextrun"/>
                  <w:color w:val="0563C1"/>
                  <w:u w:val="single"/>
                  <w:shd w:val="clear" w:color="auto" w:fill="FFFFFF"/>
                </w:rPr>
                <w:t>Directive 2006/114/EC</w:t>
              </w:r>
            </w:hyperlink>
            <w:r w:rsidRPr="00FB40D7">
              <w:rPr>
                <w:rStyle w:val="normaltextrun"/>
                <w:color w:val="000000"/>
                <w:shd w:val="clear" w:color="auto" w:fill="FFFFFF"/>
              </w:rPr>
              <w:t>), Article 2 (b)).</w:t>
            </w:r>
            <w:r w:rsidRPr="00FB40D7">
              <w:rPr>
                <w:rStyle w:val="eop"/>
                <w:color w:val="000000"/>
                <w:shd w:val="clear" w:color="auto" w:fill="FFFFFF"/>
              </w:rPr>
              <w:t> </w:t>
            </w:r>
          </w:p>
        </w:tc>
      </w:tr>
      <w:tr w:rsidR="006C07EB" w:rsidRPr="00D5095D"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D5095D" w:rsidRDefault="005F3475" w:rsidP="00CB46D4">
            <w:pPr>
              <w:rPr>
                <w:color w:val="747474" w:themeColor="background2" w:themeShade="80"/>
              </w:rPr>
            </w:pPr>
            <w:r w:rsidRPr="00D5095D">
              <w:rPr>
                <w:color w:val="747474" w:themeColor="background2" w:themeShade="80"/>
              </w:rPr>
              <w:lastRenderedPageBreak/>
              <w:t>4</w:t>
            </w:r>
            <w:r w:rsidR="006C07EB" w:rsidRPr="00D5095D">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D5095D"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D5095D"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77777777" w:rsidR="006C07EB" w:rsidRPr="00D5095D" w:rsidRDefault="006C07EB" w:rsidP="00CB46D4">
            <w:pPr>
              <w:cnfStyle w:val="000000100000" w:firstRow="0" w:lastRow="0" w:firstColumn="0" w:lastColumn="0" w:oddVBand="0" w:evenVBand="0" w:oddHBand="1" w:evenHBand="0" w:firstRowFirstColumn="0" w:firstRowLastColumn="0" w:lastRowFirstColumn="0" w:lastRowLastColumn="0"/>
            </w:pPr>
          </w:p>
        </w:tc>
      </w:tr>
      <w:tr w:rsidR="006C07EB" w:rsidRPr="00D5095D"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D5095D" w:rsidRDefault="005F3475" w:rsidP="00CB46D4">
            <w:pPr>
              <w:rPr>
                <w:color w:val="747474" w:themeColor="background2" w:themeShade="80"/>
              </w:rPr>
            </w:pPr>
            <w:r w:rsidRPr="00D5095D">
              <w:rPr>
                <w:color w:val="747474" w:themeColor="background2" w:themeShade="80"/>
              </w:rPr>
              <w:t>4</w:t>
            </w:r>
            <w:r w:rsidR="006C07EB" w:rsidRPr="00D5095D">
              <w:rPr>
                <w:color w:val="747474" w:themeColor="background2" w:themeShade="80"/>
              </w:rPr>
              <w:t>.4</w:t>
            </w:r>
          </w:p>
        </w:tc>
        <w:tc>
          <w:tcPr>
            <w:tcW w:w="2126" w:type="dxa"/>
          </w:tcPr>
          <w:p w14:paraId="3F0D9FC6" w14:textId="5CF41791" w:rsidR="006C07EB" w:rsidRPr="00D5095D"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Supranational law</w:t>
            </w:r>
          </w:p>
        </w:tc>
        <w:tc>
          <w:tcPr>
            <w:tcW w:w="2127" w:type="dxa"/>
          </w:tcPr>
          <w:p w14:paraId="08B751B0" w14:textId="77777777" w:rsidR="006C07EB" w:rsidRPr="00D5095D"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C58FD8" w14:textId="0D96CA59" w:rsidR="00FB40D7" w:rsidRPr="00E27C35" w:rsidRDefault="00FB40D7" w:rsidP="00E27C35">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E27C35">
              <w:rPr>
                <w:rStyle w:val="normaltextrun"/>
                <w:rFonts w:ascii="Arial" w:eastAsiaTheme="majorEastAsia" w:hAnsi="Arial" w:cs="Arial"/>
                <w:color w:val="000000"/>
                <w:sz w:val="22"/>
                <w:szCs w:val="22"/>
                <w:shd w:val="clear" w:color="auto" w:fill="FFFFFF"/>
              </w:rPr>
              <w:t xml:space="preserve">The Latvian regulatory framework for advertising is strongly aligned with the EU. Major Latvian advertising legislation, including </w:t>
            </w:r>
            <w:hyperlink r:id="rId54" w:tgtFrame="_blank" w:history="1">
              <w:r w:rsidRPr="00E27C35">
                <w:rPr>
                  <w:rStyle w:val="normaltextrun"/>
                  <w:rFonts w:ascii="Arial" w:eastAsiaTheme="majorEastAsia" w:hAnsi="Arial" w:cs="Arial"/>
                  <w:color w:val="0563C1"/>
                  <w:sz w:val="22"/>
                  <w:szCs w:val="22"/>
                  <w:u w:val="single"/>
                  <w:shd w:val="clear" w:color="auto" w:fill="FFFFFF"/>
                </w:rPr>
                <w:t>The Advertising Law 2000</w:t>
              </w:r>
            </w:hyperlink>
            <w:r w:rsidRPr="00E27C35">
              <w:rPr>
                <w:rStyle w:val="normaltextrun"/>
                <w:rFonts w:ascii="Arial" w:eastAsiaTheme="majorEastAsia" w:hAnsi="Arial" w:cs="Arial"/>
                <w:color w:val="000000"/>
                <w:sz w:val="22"/>
                <w:szCs w:val="22"/>
                <w:shd w:val="clear" w:color="auto" w:fill="FFFFFF"/>
              </w:rPr>
              <w:t xml:space="preserve"> (Reklāmas likums) and </w:t>
            </w:r>
            <w:hyperlink r:id="rId55" w:tgtFrame="_blank" w:history="1">
              <w:r w:rsidRPr="00E27C35">
                <w:rPr>
                  <w:rStyle w:val="normaltextrun"/>
                  <w:rFonts w:ascii="Arial" w:eastAsiaTheme="majorEastAsia" w:hAnsi="Arial" w:cs="Arial"/>
                  <w:color w:val="0563C1"/>
                  <w:sz w:val="22"/>
                  <w:szCs w:val="22"/>
                  <w:u w:val="single"/>
                  <w:shd w:val="clear" w:color="auto" w:fill="FFFFFF"/>
                </w:rPr>
                <w:t>The Unfair Commercial Practices Prohibition Law 2008</w:t>
              </w:r>
            </w:hyperlink>
            <w:r w:rsidRPr="00E27C35">
              <w:rPr>
                <w:rStyle w:val="normaltextrun"/>
                <w:rFonts w:ascii="Arial" w:eastAsiaTheme="majorEastAsia" w:hAnsi="Arial" w:cs="Arial"/>
                <w:color w:val="000000"/>
                <w:sz w:val="22"/>
                <w:szCs w:val="22"/>
                <w:shd w:val="clear" w:color="auto" w:fill="FFFFFF"/>
              </w:rPr>
              <w:t xml:space="preserve"> (Negodīgas komercprakses aizlieguma likums), incorporate provisions of </w:t>
            </w:r>
            <w:hyperlink r:id="rId56" w:tgtFrame="_blank" w:history="1">
              <w:r w:rsidRPr="00E27C35">
                <w:rPr>
                  <w:rStyle w:val="normaltextrun"/>
                  <w:rFonts w:ascii="Arial" w:eastAsiaTheme="majorEastAsia" w:hAnsi="Arial" w:cs="Arial"/>
                  <w:color w:val="0563C1"/>
                  <w:sz w:val="22"/>
                  <w:szCs w:val="22"/>
                  <w:u w:val="single"/>
                  <w:shd w:val="clear" w:color="auto" w:fill="FFFFFF"/>
                </w:rPr>
                <w:t xml:space="preserve">Directive </w:t>
              </w:r>
              <w:r w:rsidRPr="00E27C35">
                <w:rPr>
                  <w:rStyle w:val="normaltextrun"/>
                  <w:rFonts w:ascii="Arial" w:eastAsiaTheme="majorEastAsia" w:hAnsi="Arial" w:cs="Arial"/>
                  <w:color w:val="0563C1"/>
                  <w:sz w:val="22"/>
                  <w:szCs w:val="22"/>
                  <w:u w:val="single"/>
                  <w:shd w:val="clear" w:color="auto" w:fill="FFFFFF"/>
                </w:rPr>
                <w:lastRenderedPageBreak/>
                <w:t>2006/114/EC of the European Parliament and of the Council of 12 December 2006 concerning misleading and comparative advertising</w:t>
              </w:r>
            </w:hyperlink>
            <w:r w:rsidRPr="00E27C35">
              <w:rPr>
                <w:rStyle w:val="normaltextrun"/>
                <w:rFonts w:ascii="Arial" w:eastAsiaTheme="majorEastAsia" w:hAnsi="Arial" w:cs="Arial"/>
                <w:color w:val="000000"/>
                <w:sz w:val="22"/>
                <w:szCs w:val="22"/>
                <w:shd w:val="clear" w:color="auto" w:fill="FFFFFF"/>
              </w:rPr>
              <w:t xml:space="preserve"> and </w:t>
            </w:r>
            <w:hyperlink r:id="rId57" w:tgtFrame="_blank" w:history="1">
              <w:r w:rsidRPr="00E27C35">
                <w:rPr>
                  <w:rStyle w:val="normaltextrun"/>
                  <w:rFonts w:ascii="Arial" w:eastAsiaTheme="majorEastAsia" w:hAnsi="Arial" w:cs="Arial"/>
                  <w:color w:val="0563C1"/>
                  <w:sz w:val="22"/>
                  <w:szCs w:val="22"/>
                  <w:u w:val="single"/>
                  <w:shd w:val="clear" w:color="auto" w:fill="FFFFFF"/>
                </w:rPr>
                <w:t>Directive 2005/29/EC of the European Parliament and of the Council of 11 May 2005 concerning unfair business-to-consumer commercial practices</w:t>
              </w:r>
            </w:hyperlink>
            <w:r w:rsidRPr="00E27C35">
              <w:rPr>
                <w:rStyle w:val="normaltextrun"/>
                <w:rFonts w:ascii="Arial" w:eastAsiaTheme="majorEastAsia" w:hAnsi="Arial" w:cs="Arial"/>
                <w:color w:val="000000"/>
                <w:sz w:val="22"/>
                <w:szCs w:val="22"/>
                <w:shd w:val="clear" w:color="auto" w:fill="FFFFFF"/>
              </w:rPr>
              <w:t xml:space="preserve"> (IAL 2021: 395). </w:t>
            </w:r>
            <w:hyperlink r:id="rId58" w:tgtFrame="_blank" w:history="1">
              <w:r w:rsidRPr="00E27C35">
                <w:rPr>
                  <w:rStyle w:val="normaltextrun"/>
                  <w:rFonts w:ascii="Arial" w:eastAsiaTheme="majorEastAsia" w:hAnsi="Arial" w:cs="Arial"/>
                  <w:color w:val="0563C1"/>
                  <w:sz w:val="22"/>
                  <w:szCs w:val="22"/>
                  <w:u w:val="single"/>
                  <w:shd w:val="clear" w:color="auto" w:fill="FFFFFF"/>
                </w:rPr>
                <w:t>The Audiovisual Media Services Directive (2018/1808)</w:t>
              </w:r>
            </w:hyperlink>
            <w:r w:rsidRPr="00E27C35">
              <w:rPr>
                <w:rStyle w:val="normaltextrun"/>
                <w:rFonts w:ascii="Arial" w:eastAsiaTheme="majorEastAsia" w:hAnsi="Arial" w:cs="Arial"/>
                <w:color w:val="000000"/>
                <w:sz w:val="22"/>
                <w:szCs w:val="22"/>
                <w:shd w:val="clear" w:color="auto" w:fill="FFFFFF"/>
              </w:rPr>
              <w:t xml:space="preserve"> was transposed into Latvian law through the amendments to </w:t>
            </w:r>
            <w:hyperlink r:id="rId59" w:tgtFrame="_blank" w:history="1">
              <w:r w:rsidRPr="00E27C35">
                <w:rPr>
                  <w:rStyle w:val="normaltextrun"/>
                  <w:rFonts w:ascii="Arial" w:eastAsiaTheme="majorEastAsia" w:hAnsi="Arial" w:cs="Arial"/>
                  <w:color w:val="0563C1"/>
                  <w:sz w:val="22"/>
                  <w:szCs w:val="22"/>
                  <w:u w:val="single"/>
                  <w:shd w:val="clear" w:color="auto" w:fill="FFFFFF"/>
                </w:rPr>
                <w:t>The Electronic Mass Media Law 2010</w:t>
              </w:r>
            </w:hyperlink>
            <w:r w:rsidRPr="00E27C35">
              <w:rPr>
                <w:rStyle w:val="normaltextrun"/>
                <w:rFonts w:ascii="Arial" w:eastAsiaTheme="majorEastAsia" w:hAnsi="Arial" w:cs="Arial"/>
                <w:color w:val="000000"/>
                <w:sz w:val="22"/>
                <w:szCs w:val="22"/>
                <w:shd w:val="clear" w:color="auto" w:fill="FFFFFF"/>
              </w:rPr>
              <w:t xml:space="preserve"> (Elektronisko plašsaziņas līdzekļu likums), which entered into force in December 2020 (</w:t>
            </w:r>
            <w:hyperlink r:id="rId60" w:tgtFrame="_blank" w:history="1">
              <w:r w:rsidRPr="00E27C35">
                <w:rPr>
                  <w:rStyle w:val="normaltextrun"/>
                  <w:rFonts w:ascii="Arial" w:eastAsiaTheme="majorEastAsia" w:hAnsi="Arial" w:cs="Arial"/>
                  <w:color w:val="0563C1"/>
                  <w:sz w:val="22"/>
                  <w:szCs w:val="22"/>
                  <w:u w:val="single"/>
                  <w:shd w:val="clear" w:color="auto" w:fill="FFFFFF"/>
                </w:rPr>
                <w:t>European Audiovisual Observatory 2023</w:t>
              </w:r>
            </w:hyperlink>
            <w:r w:rsidRPr="00E27C35">
              <w:rPr>
                <w:rStyle w:val="normaltextrun"/>
                <w:rFonts w:ascii="Arial" w:eastAsiaTheme="majorEastAsia" w:hAnsi="Arial" w:cs="Arial"/>
                <w:color w:val="000000"/>
                <w:sz w:val="22"/>
                <w:szCs w:val="22"/>
                <w:shd w:val="clear" w:color="auto" w:fill="FFFFFF"/>
              </w:rPr>
              <w:t xml:space="preserve">). </w:t>
            </w:r>
            <w:hyperlink r:id="rId61" w:tgtFrame="_blank" w:history="1">
              <w:r w:rsidRPr="00E27C35">
                <w:rPr>
                  <w:rStyle w:val="normaltextrun"/>
                  <w:rFonts w:ascii="Arial" w:eastAsiaTheme="majorEastAsia" w:hAnsi="Arial" w:cs="Arial"/>
                  <w:color w:val="0563C1"/>
                  <w:sz w:val="22"/>
                  <w:szCs w:val="22"/>
                  <w:u w:val="single"/>
                  <w:shd w:val="clear" w:color="auto" w:fill="FFFFFF"/>
                </w:rPr>
                <w:t>The Directive on Electronic Commerce (2000/31/EC)</w:t>
              </w:r>
            </w:hyperlink>
            <w:r w:rsidRPr="00E27C35">
              <w:rPr>
                <w:rStyle w:val="normaltextrun"/>
                <w:rFonts w:ascii="Arial" w:eastAsiaTheme="majorEastAsia" w:hAnsi="Arial" w:cs="Arial"/>
                <w:color w:val="000000"/>
                <w:sz w:val="22"/>
                <w:szCs w:val="22"/>
                <w:shd w:val="clear" w:color="auto" w:fill="FFFFFF"/>
              </w:rPr>
              <w:t xml:space="preserve">, and </w:t>
            </w:r>
            <w:hyperlink r:id="rId62" w:tgtFrame="_blank" w:history="1">
              <w:r w:rsidRPr="00E27C35">
                <w:rPr>
                  <w:rStyle w:val="normaltextrun"/>
                  <w:rFonts w:ascii="Arial" w:eastAsiaTheme="majorEastAsia" w:hAnsi="Arial" w:cs="Arial"/>
                  <w:color w:val="0563C1"/>
                  <w:sz w:val="22"/>
                  <w:szCs w:val="22"/>
                  <w:u w:val="single"/>
                  <w:shd w:val="clear" w:color="auto" w:fill="FFFFFF"/>
                </w:rPr>
                <w:t>The General Data Protection Regulation (2016/679)</w:t>
              </w:r>
            </w:hyperlink>
            <w:r w:rsidRPr="00E27C35">
              <w:rPr>
                <w:rStyle w:val="normaltextrun"/>
                <w:rFonts w:ascii="Arial" w:eastAsiaTheme="majorEastAsia" w:hAnsi="Arial" w:cs="Arial"/>
                <w:color w:val="000000"/>
                <w:sz w:val="22"/>
                <w:szCs w:val="22"/>
                <w:shd w:val="clear" w:color="auto" w:fill="FFFFFF"/>
              </w:rPr>
              <w:t xml:space="preserve"> (GDPR), as well as other relevant provisions have been either transposed into Latvian Legislation or apply directly (IAL 2021: 395).</w:t>
            </w:r>
            <w:r w:rsidRPr="00E27C35">
              <w:rPr>
                <w:rStyle w:val="eop"/>
                <w:rFonts w:ascii="Arial" w:eastAsiaTheme="majorEastAsia" w:hAnsi="Arial" w:cs="Arial"/>
                <w:color w:val="000000"/>
                <w:sz w:val="22"/>
                <w:szCs w:val="22"/>
                <w:shd w:val="clear" w:color="auto" w:fill="FFFFFF"/>
              </w:rPr>
              <w:t> </w:t>
            </w:r>
          </w:p>
        </w:tc>
      </w:tr>
      <w:tr w:rsidR="006C07EB" w:rsidRPr="00D5095D"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D5095D" w:rsidRDefault="004239C6" w:rsidP="00CB46D4">
            <w:pPr>
              <w:rPr>
                <w:color w:val="747474" w:themeColor="background2" w:themeShade="80"/>
              </w:rPr>
            </w:pPr>
            <w:r w:rsidRPr="00D5095D">
              <w:rPr>
                <w:color w:val="747474" w:themeColor="background2" w:themeShade="80"/>
              </w:rPr>
              <w:lastRenderedPageBreak/>
              <w:t>4</w:t>
            </w:r>
            <w:r w:rsidR="006C07EB" w:rsidRPr="00D5095D">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D5095D"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Major legislation</w:t>
            </w:r>
          </w:p>
        </w:tc>
        <w:tc>
          <w:tcPr>
            <w:tcW w:w="2127" w:type="dxa"/>
            <w:tcBorders>
              <w:top w:val="none" w:sz="0" w:space="0" w:color="auto"/>
              <w:bottom w:val="none" w:sz="0" w:space="0" w:color="auto"/>
            </w:tcBorders>
          </w:tcPr>
          <w:p w14:paraId="2AEA1967" w14:textId="77777777" w:rsidR="006C07EB" w:rsidRPr="00D5095D"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D05CCB4" w14:textId="77777777" w:rsidR="00FB40D7" w:rsidRPr="00FB40D7" w:rsidRDefault="00FB40D7" w:rsidP="00FB40D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B40D7">
              <w:rPr>
                <w:rFonts w:eastAsia="Times New Roman"/>
                <w:lang w:eastAsia="en-GB"/>
              </w:rPr>
              <w:t>Key advertising legislation: </w:t>
            </w:r>
          </w:p>
          <w:p w14:paraId="528AE1D1" w14:textId="77777777" w:rsidR="00FB40D7" w:rsidRPr="00FB40D7" w:rsidRDefault="00000000" w:rsidP="00FB40D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3" w:tgtFrame="_blank" w:history="1">
              <w:r w:rsidR="00FB40D7" w:rsidRPr="00FB40D7">
                <w:rPr>
                  <w:rFonts w:eastAsia="Times New Roman"/>
                  <w:color w:val="0563C1"/>
                  <w:u w:val="single"/>
                  <w:lang w:eastAsia="en-GB"/>
                </w:rPr>
                <w:t>The Advertising Law 2000</w:t>
              </w:r>
            </w:hyperlink>
            <w:r w:rsidR="00FB40D7" w:rsidRPr="00FB40D7">
              <w:rPr>
                <w:rFonts w:eastAsia="Times New Roman"/>
                <w:lang w:eastAsia="en-GB"/>
              </w:rPr>
              <w:t xml:space="preserve"> (Reklāmas likums). </w:t>
            </w:r>
          </w:p>
          <w:p w14:paraId="3505F341" w14:textId="6E76A225" w:rsidR="00FB40D7" w:rsidRPr="00FB40D7" w:rsidRDefault="00000000" w:rsidP="00FB40D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4" w:tgtFrame="_blank" w:history="1">
              <w:r w:rsidR="00FB40D7" w:rsidRPr="00FB40D7">
                <w:rPr>
                  <w:rFonts w:eastAsia="Times New Roman"/>
                  <w:color w:val="0563C1"/>
                  <w:u w:val="single"/>
                  <w:lang w:eastAsia="en-GB"/>
                </w:rPr>
                <w:t>The Consumer Rights Protection Law 1999</w:t>
              </w:r>
            </w:hyperlink>
            <w:r w:rsidR="00FB40D7" w:rsidRPr="00FB40D7">
              <w:rPr>
                <w:rFonts w:eastAsia="Times New Roman"/>
                <w:lang w:eastAsia="en-GB"/>
              </w:rPr>
              <w:t xml:space="preserve"> (Patērētāju tiesību aizsardzības likums)</w:t>
            </w:r>
            <w:r w:rsidR="00D22973">
              <w:rPr>
                <w:rFonts w:eastAsia="Times New Roman"/>
                <w:lang w:eastAsia="en-GB"/>
              </w:rPr>
              <w:t xml:space="preserve">, </w:t>
            </w:r>
            <w:hyperlink r:id="rId65" w:history="1">
              <w:r w:rsidR="00D22973" w:rsidRPr="001902B4">
                <w:rPr>
                  <w:rStyle w:val="Hyperlink"/>
                  <w:rFonts w:eastAsia="Times New Roman"/>
                  <w:lang w:eastAsia="en-GB"/>
                </w:rPr>
                <w:t>last amended in 2024</w:t>
              </w:r>
            </w:hyperlink>
            <w:r w:rsidR="00FB40D7" w:rsidRPr="00FB40D7">
              <w:rPr>
                <w:rFonts w:eastAsia="Times New Roman"/>
                <w:lang w:eastAsia="en-GB"/>
              </w:rPr>
              <w:t>. </w:t>
            </w:r>
          </w:p>
          <w:p w14:paraId="4051E6C5" w14:textId="5C6C6492" w:rsidR="00FB40D7" w:rsidRPr="00FB40D7" w:rsidRDefault="00000000" w:rsidP="00FB40D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6" w:tgtFrame="_blank" w:history="1">
              <w:r w:rsidR="00FB40D7" w:rsidRPr="00FB40D7">
                <w:rPr>
                  <w:rFonts w:eastAsia="Times New Roman"/>
                  <w:color w:val="0563C1"/>
                  <w:u w:val="single"/>
                  <w:lang w:eastAsia="en-GB"/>
                </w:rPr>
                <w:t>The Unfair Commercial Practices Prohibition Law 2008</w:t>
              </w:r>
            </w:hyperlink>
            <w:r w:rsidR="00FB40D7" w:rsidRPr="00FB40D7">
              <w:rPr>
                <w:rFonts w:eastAsia="Times New Roman"/>
                <w:lang w:eastAsia="en-GB"/>
              </w:rPr>
              <w:t xml:space="preserve"> (Negodīgas komercprakses aizlieguma likums)</w:t>
            </w:r>
            <w:r w:rsidR="007C0CD2">
              <w:rPr>
                <w:rFonts w:eastAsia="Times New Roman"/>
                <w:lang w:eastAsia="en-GB"/>
              </w:rPr>
              <w:t xml:space="preserve">, </w:t>
            </w:r>
            <w:hyperlink r:id="rId67" w:history="1">
              <w:r w:rsidR="007C0CD2" w:rsidRPr="007C0CD2">
                <w:rPr>
                  <w:rStyle w:val="Hyperlink"/>
                  <w:rFonts w:eastAsia="Times New Roman"/>
                  <w:lang w:eastAsia="en-GB"/>
                </w:rPr>
                <w:t>last amended in 2023</w:t>
              </w:r>
            </w:hyperlink>
            <w:r w:rsidR="00FB40D7" w:rsidRPr="00FB40D7">
              <w:rPr>
                <w:rFonts w:eastAsia="Times New Roman"/>
                <w:lang w:eastAsia="en-GB"/>
              </w:rPr>
              <w:t>. </w:t>
            </w:r>
          </w:p>
          <w:p w14:paraId="210EEB76" w14:textId="77777777" w:rsidR="00FB40D7" w:rsidRPr="00FB40D7" w:rsidRDefault="00000000" w:rsidP="00FB40D7">
            <w:pPr>
              <w:pStyle w:val="ListParagraph"/>
              <w:numPr>
                <w:ilvl w:val="0"/>
                <w:numId w:val="2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8" w:tgtFrame="_blank" w:history="1">
              <w:r w:rsidR="00FB40D7" w:rsidRPr="00FB40D7">
                <w:rPr>
                  <w:rFonts w:eastAsia="Times New Roman"/>
                  <w:color w:val="0563C1"/>
                  <w:u w:val="single"/>
                  <w:lang w:eastAsia="en-GB"/>
                </w:rPr>
                <w:t>The Law on Information Society Services 2004</w:t>
              </w:r>
            </w:hyperlink>
            <w:r w:rsidR="00FB40D7" w:rsidRPr="00FB40D7">
              <w:rPr>
                <w:rFonts w:eastAsia="Times New Roman"/>
                <w:lang w:eastAsia="en-GB"/>
              </w:rPr>
              <w:t xml:space="preserve"> (Informācijas sabiedrības pakalpojumu likums). </w:t>
            </w:r>
          </w:p>
          <w:p w14:paraId="546BC3D1" w14:textId="77777777" w:rsidR="00FB40D7" w:rsidRPr="00FB40D7" w:rsidRDefault="00FB40D7" w:rsidP="00FB40D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B40D7">
              <w:rPr>
                <w:rFonts w:eastAsia="Times New Roman"/>
                <w:lang w:eastAsia="en-GB"/>
              </w:rPr>
              <w:t> </w:t>
            </w:r>
          </w:p>
          <w:p w14:paraId="4543FA5F" w14:textId="77777777" w:rsidR="00FB40D7" w:rsidRPr="00FB40D7" w:rsidRDefault="00FB40D7" w:rsidP="00FB40D7">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FB40D7">
              <w:rPr>
                <w:rFonts w:eastAsia="Times New Roman"/>
                <w:lang w:eastAsia="en-GB"/>
              </w:rPr>
              <w:t>Additional sector-specific rules: </w:t>
            </w:r>
          </w:p>
          <w:p w14:paraId="5BE8F95C" w14:textId="77777777" w:rsidR="00FB40D7" w:rsidRPr="00FB40D7" w:rsidRDefault="00000000" w:rsidP="00FB40D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69" w:tgtFrame="_blank" w:history="1">
              <w:r w:rsidR="00FB40D7" w:rsidRPr="00FB40D7">
                <w:rPr>
                  <w:rFonts w:eastAsia="Times New Roman"/>
                  <w:color w:val="0563C1"/>
                  <w:u w:val="single"/>
                  <w:lang w:eastAsia="en-GB"/>
                </w:rPr>
                <w:t>The Electronic Mass Media Law 2010</w:t>
              </w:r>
            </w:hyperlink>
            <w:r w:rsidR="00FB40D7" w:rsidRPr="00FB40D7">
              <w:rPr>
                <w:rFonts w:eastAsia="Times New Roman"/>
                <w:lang w:eastAsia="en-GB"/>
              </w:rPr>
              <w:t xml:space="preserve"> (Elektronisko plašsaziņas līdzekļu likums). </w:t>
            </w:r>
          </w:p>
          <w:p w14:paraId="13B31903" w14:textId="77777777" w:rsidR="00FB40D7" w:rsidRPr="00FB40D7" w:rsidRDefault="00000000" w:rsidP="00FB40D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hyperlink r:id="rId70" w:tgtFrame="_blank" w:history="1">
              <w:r w:rsidR="00FB40D7" w:rsidRPr="00FB40D7">
                <w:rPr>
                  <w:rFonts w:eastAsia="Times New Roman"/>
                  <w:color w:val="0563C1"/>
                  <w:u w:val="single"/>
                  <w:lang w:eastAsia="en-GB"/>
                </w:rPr>
                <w:t>The Personal Data Processing Law 2018</w:t>
              </w:r>
            </w:hyperlink>
            <w:r w:rsidR="00FB40D7" w:rsidRPr="00FB40D7">
              <w:rPr>
                <w:rFonts w:eastAsia="Times New Roman"/>
                <w:lang w:eastAsia="en-GB"/>
              </w:rPr>
              <w:t xml:space="preserve"> (Fizisko personu datu apstrādes likums). </w:t>
            </w:r>
          </w:p>
          <w:p w14:paraId="58D352B8" w14:textId="77777777" w:rsidR="00FB40D7" w:rsidRPr="00FB40D7" w:rsidRDefault="00FB40D7" w:rsidP="00FB40D7">
            <w:pPr>
              <w:pStyle w:val="ListParagraph"/>
              <w:numPr>
                <w:ilvl w:val="0"/>
                <w:numId w:val="23"/>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FB40D7">
              <w:rPr>
                <w:rFonts w:eastAsia="Times New Roman"/>
                <w:lang w:eastAsia="en-GB"/>
              </w:rPr>
              <w:t>Other sector-specific legislation. </w:t>
            </w:r>
          </w:p>
          <w:p w14:paraId="71DD459A" w14:textId="74833C18" w:rsidR="006C07EB" w:rsidRPr="00FB40D7" w:rsidRDefault="00FB40D7" w:rsidP="00FB40D7">
            <w:pPr>
              <w:textAlignment w:val="baseline"/>
              <w:cnfStyle w:val="000000100000" w:firstRow="0" w:lastRow="0" w:firstColumn="0" w:lastColumn="0" w:oddVBand="0" w:evenVBand="0" w:oddHBand="1" w:evenHBand="0" w:firstRowFirstColumn="0" w:firstRowLastColumn="0" w:lastRowFirstColumn="0" w:lastRowLastColumn="0"/>
              <w:rPr>
                <w:rFonts w:ascii="Segoe UI" w:eastAsia="Times New Roman" w:hAnsi="Segoe UI" w:cs="Segoe UI"/>
                <w:sz w:val="18"/>
                <w:szCs w:val="18"/>
                <w:lang w:eastAsia="en-GB"/>
              </w:rPr>
            </w:pPr>
            <w:r w:rsidRPr="00FB40D7">
              <w:rPr>
                <w:rFonts w:eastAsia="Times New Roman"/>
                <w:lang w:eastAsia="en-GB"/>
              </w:rPr>
              <w:t>(IAL 2021: 395).</w:t>
            </w:r>
            <w:r w:rsidRPr="00FB40D7">
              <w:rPr>
                <w:rFonts w:ascii="Calibri" w:eastAsia="Times New Roman" w:hAnsi="Calibri" w:cs="Calibri"/>
                <w:lang w:eastAsia="en-GB"/>
              </w:rPr>
              <w:t> </w:t>
            </w:r>
          </w:p>
        </w:tc>
      </w:tr>
      <w:tr w:rsidR="005F3475" w:rsidRPr="00D5095D"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D5095D" w:rsidRDefault="004239C6" w:rsidP="00CB46D4">
            <w:pPr>
              <w:rPr>
                <w:color w:val="747474" w:themeColor="background2" w:themeShade="80"/>
              </w:rPr>
            </w:pPr>
            <w:r w:rsidRPr="00D5095D">
              <w:rPr>
                <w:color w:val="747474" w:themeColor="background2" w:themeShade="80"/>
              </w:rPr>
              <w:t>4.6</w:t>
            </w:r>
          </w:p>
        </w:tc>
        <w:tc>
          <w:tcPr>
            <w:tcW w:w="2126" w:type="dxa"/>
          </w:tcPr>
          <w:p w14:paraId="05053392" w14:textId="504551E3" w:rsidR="005F3475" w:rsidRPr="00D5095D"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Regulatory Authorities</w:t>
            </w:r>
          </w:p>
        </w:tc>
        <w:tc>
          <w:tcPr>
            <w:tcW w:w="2127" w:type="dxa"/>
          </w:tcPr>
          <w:p w14:paraId="3398227C" w14:textId="77777777" w:rsidR="005F3475" w:rsidRPr="00D5095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1452E91" w14:textId="77777777" w:rsidR="00E27C35" w:rsidRDefault="00E27C35" w:rsidP="00E27C35">
            <w:pPr>
              <w:cnfStyle w:val="000000000000" w:firstRow="0" w:lastRow="0" w:firstColumn="0" w:lastColumn="0" w:oddVBand="0" w:evenVBand="0" w:oddHBand="0" w:evenHBand="0" w:firstRowFirstColumn="0" w:firstRowLastColumn="0" w:lastRowFirstColumn="0" w:lastRowLastColumn="0"/>
            </w:pPr>
            <w:r>
              <w:t xml:space="preserve">The Consumer Rights Protection Centre (CRPC) </w:t>
            </w:r>
          </w:p>
          <w:p w14:paraId="361853A8" w14:textId="77777777" w:rsidR="00E27C35" w:rsidRDefault="00E27C35" w:rsidP="00E27C35">
            <w:pPr>
              <w:cnfStyle w:val="000000000000" w:firstRow="0" w:lastRow="0" w:firstColumn="0" w:lastColumn="0" w:oddVBand="0" w:evenVBand="0" w:oddHBand="0" w:evenHBand="0" w:firstRowFirstColumn="0" w:firstRowLastColumn="0" w:lastRowFirstColumn="0" w:lastRowLastColumn="0"/>
            </w:pPr>
          </w:p>
          <w:p w14:paraId="6E6FBC98" w14:textId="5E4E2BD8" w:rsidR="005F3475" w:rsidRPr="00D5095D" w:rsidRDefault="00E27C35" w:rsidP="00E27C35">
            <w:pPr>
              <w:cnfStyle w:val="000000000000" w:firstRow="0" w:lastRow="0" w:firstColumn="0" w:lastColumn="0" w:oddVBand="0" w:evenVBand="0" w:oddHBand="0" w:evenHBand="0" w:firstRowFirstColumn="0" w:firstRowLastColumn="0" w:lastRowFirstColumn="0" w:lastRowLastColumn="0"/>
            </w:pPr>
            <w:r>
              <w:t>The Competition Council</w:t>
            </w:r>
          </w:p>
        </w:tc>
      </w:tr>
      <w:tr w:rsidR="005F3475" w:rsidRPr="00D5095D"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D5095D" w:rsidRDefault="004239C6" w:rsidP="00CB46D4">
            <w:pPr>
              <w:rPr>
                <w:color w:val="747474" w:themeColor="background2" w:themeShade="80"/>
              </w:rPr>
            </w:pPr>
            <w:r w:rsidRPr="00D5095D">
              <w:rPr>
                <w:color w:val="747474" w:themeColor="background2" w:themeShade="80"/>
              </w:rPr>
              <w:t>4.7</w:t>
            </w:r>
          </w:p>
        </w:tc>
        <w:tc>
          <w:tcPr>
            <w:tcW w:w="2126" w:type="dxa"/>
          </w:tcPr>
          <w:p w14:paraId="32786721" w14:textId="43AC07D3" w:rsidR="005F3475" w:rsidRPr="00D5095D"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Co-regulation</w:t>
            </w:r>
          </w:p>
        </w:tc>
        <w:tc>
          <w:tcPr>
            <w:tcW w:w="2127" w:type="dxa"/>
          </w:tcPr>
          <w:p w14:paraId="50193D1F" w14:textId="77777777" w:rsidR="005F3475" w:rsidRPr="00D5095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7777777" w:rsidR="005F3475" w:rsidRPr="00D5095D" w:rsidRDefault="005F3475" w:rsidP="00CB46D4">
            <w:pPr>
              <w:cnfStyle w:val="000000100000" w:firstRow="0" w:lastRow="0" w:firstColumn="0" w:lastColumn="0" w:oddVBand="0" w:evenVBand="0" w:oddHBand="1" w:evenHBand="0" w:firstRowFirstColumn="0" w:firstRowLastColumn="0" w:lastRowFirstColumn="0" w:lastRowLastColumn="0"/>
            </w:pPr>
          </w:p>
        </w:tc>
      </w:tr>
      <w:tr w:rsidR="005F3475" w:rsidRPr="00D5095D"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D5095D" w:rsidRDefault="004239C6" w:rsidP="00CB46D4">
            <w:pPr>
              <w:rPr>
                <w:color w:val="747474" w:themeColor="background2" w:themeShade="80"/>
              </w:rPr>
            </w:pPr>
            <w:r w:rsidRPr="00D5095D">
              <w:rPr>
                <w:color w:val="747474" w:themeColor="background2" w:themeShade="80"/>
              </w:rPr>
              <w:t>4.8</w:t>
            </w:r>
          </w:p>
        </w:tc>
        <w:tc>
          <w:tcPr>
            <w:tcW w:w="2126" w:type="dxa"/>
          </w:tcPr>
          <w:p w14:paraId="3DB77ADE" w14:textId="555B3FE4" w:rsidR="005F3475" w:rsidRPr="00D5095D"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How does the government enforce advertising laws?</w:t>
            </w:r>
          </w:p>
        </w:tc>
        <w:tc>
          <w:tcPr>
            <w:tcW w:w="2127" w:type="dxa"/>
          </w:tcPr>
          <w:p w14:paraId="42F15956" w14:textId="77777777" w:rsidR="005F3475" w:rsidRPr="00D5095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730B8388" w:rsidR="005F3475" w:rsidRPr="00D5095D" w:rsidRDefault="00E27C35" w:rsidP="00CB46D4">
            <w:pPr>
              <w:cnfStyle w:val="000000000000" w:firstRow="0" w:lastRow="0" w:firstColumn="0" w:lastColumn="0" w:oddVBand="0" w:evenVBand="0" w:oddHBand="0" w:evenHBand="0" w:firstRowFirstColumn="0" w:firstRowLastColumn="0" w:lastRowFirstColumn="0" w:lastRowLastColumn="0"/>
            </w:pPr>
            <w:r>
              <w:t>*</w:t>
            </w:r>
          </w:p>
        </w:tc>
      </w:tr>
      <w:tr w:rsidR="005F3475" w:rsidRPr="00D5095D"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D5095D" w:rsidRDefault="004239C6" w:rsidP="00CB46D4">
            <w:pPr>
              <w:rPr>
                <w:color w:val="747474" w:themeColor="background2" w:themeShade="80"/>
              </w:rPr>
            </w:pPr>
            <w:r w:rsidRPr="00D5095D">
              <w:rPr>
                <w:color w:val="747474" w:themeColor="background2" w:themeShade="80"/>
              </w:rPr>
              <w:t>4.9</w:t>
            </w:r>
          </w:p>
        </w:tc>
        <w:tc>
          <w:tcPr>
            <w:tcW w:w="2126" w:type="dxa"/>
          </w:tcPr>
          <w:p w14:paraId="531F1313" w14:textId="0B2A61D6" w:rsidR="005F3475" w:rsidRPr="00D5095D"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What are the potential remedies?</w:t>
            </w:r>
          </w:p>
        </w:tc>
        <w:tc>
          <w:tcPr>
            <w:tcW w:w="2127" w:type="dxa"/>
          </w:tcPr>
          <w:p w14:paraId="6A2BA953" w14:textId="77777777" w:rsidR="005F3475" w:rsidRPr="00D5095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1BC1F5C4" w:rsidR="005F3475" w:rsidRPr="00D5095D" w:rsidRDefault="00E27C35" w:rsidP="00CB46D4">
            <w:pPr>
              <w:cnfStyle w:val="000000100000" w:firstRow="0" w:lastRow="0" w:firstColumn="0" w:lastColumn="0" w:oddVBand="0" w:evenVBand="0" w:oddHBand="1" w:evenHBand="0" w:firstRowFirstColumn="0" w:firstRowLastColumn="0" w:lastRowFirstColumn="0" w:lastRowLastColumn="0"/>
            </w:pPr>
            <w:r>
              <w:t>*</w:t>
            </w:r>
          </w:p>
        </w:tc>
      </w:tr>
      <w:tr w:rsidR="005F3475" w:rsidRPr="00D5095D"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D5095D" w:rsidRDefault="008C6FA9" w:rsidP="00CB46D4">
            <w:pPr>
              <w:rPr>
                <w:color w:val="747474" w:themeColor="background2" w:themeShade="80"/>
              </w:rPr>
            </w:pPr>
            <w:r w:rsidRPr="00D5095D">
              <w:rPr>
                <w:color w:val="747474" w:themeColor="background2" w:themeShade="80"/>
              </w:rPr>
              <w:lastRenderedPageBreak/>
              <w:t>4.10</w:t>
            </w:r>
          </w:p>
        </w:tc>
        <w:tc>
          <w:tcPr>
            <w:tcW w:w="2126" w:type="dxa"/>
          </w:tcPr>
          <w:p w14:paraId="1811106B" w14:textId="77716D68" w:rsidR="005F3475" w:rsidRPr="00D5095D"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When does a competitor have a right of action?</w:t>
            </w:r>
          </w:p>
        </w:tc>
        <w:tc>
          <w:tcPr>
            <w:tcW w:w="2127" w:type="dxa"/>
          </w:tcPr>
          <w:p w14:paraId="61AF9C4E" w14:textId="77777777" w:rsidR="005F3475" w:rsidRPr="00D5095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7AFE0F54" w:rsidR="005F3475" w:rsidRPr="00D5095D" w:rsidRDefault="00E27C35" w:rsidP="00CB46D4">
            <w:pPr>
              <w:cnfStyle w:val="000000000000" w:firstRow="0" w:lastRow="0" w:firstColumn="0" w:lastColumn="0" w:oddVBand="0" w:evenVBand="0" w:oddHBand="0" w:evenHBand="0" w:firstRowFirstColumn="0" w:firstRowLastColumn="0" w:lastRowFirstColumn="0" w:lastRowLastColumn="0"/>
            </w:pPr>
            <w:r>
              <w:t>*</w:t>
            </w:r>
          </w:p>
        </w:tc>
      </w:tr>
      <w:tr w:rsidR="005F3475" w:rsidRPr="00D5095D"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D5095D" w:rsidRDefault="008C6FA9" w:rsidP="00CB46D4">
            <w:pPr>
              <w:rPr>
                <w:color w:val="747474" w:themeColor="background2" w:themeShade="80"/>
              </w:rPr>
            </w:pPr>
            <w:r w:rsidRPr="00D5095D">
              <w:rPr>
                <w:color w:val="747474" w:themeColor="background2" w:themeShade="80"/>
              </w:rPr>
              <w:t>4.11</w:t>
            </w:r>
          </w:p>
        </w:tc>
        <w:tc>
          <w:tcPr>
            <w:tcW w:w="2126" w:type="dxa"/>
          </w:tcPr>
          <w:p w14:paraId="223F4313" w14:textId="5CD0C54A" w:rsidR="005F3475" w:rsidRPr="00D5095D"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What are the potential remedies (4.10)?</w:t>
            </w:r>
          </w:p>
        </w:tc>
        <w:tc>
          <w:tcPr>
            <w:tcW w:w="2127" w:type="dxa"/>
          </w:tcPr>
          <w:p w14:paraId="6FFCF00A" w14:textId="77777777" w:rsidR="005F3475" w:rsidRPr="00D5095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7F9F1361" w:rsidR="005F3475" w:rsidRPr="00D5095D" w:rsidRDefault="00E27C35" w:rsidP="00CB46D4">
            <w:pPr>
              <w:cnfStyle w:val="000000100000" w:firstRow="0" w:lastRow="0" w:firstColumn="0" w:lastColumn="0" w:oddVBand="0" w:evenVBand="0" w:oddHBand="1" w:evenHBand="0" w:firstRowFirstColumn="0" w:firstRowLastColumn="0" w:lastRowFirstColumn="0" w:lastRowLastColumn="0"/>
            </w:pPr>
            <w:r>
              <w:t>*</w:t>
            </w:r>
          </w:p>
        </w:tc>
      </w:tr>
      <w:tr w:rsidR="005F3475" w:rsidRPr="00D5095D"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D5095D" w:rsidRDefault="008C6FA9" w:rsidP="00CB46D4">
            <w:pPr>
              <w:rPr>
                <w:color w:val="747474" w:themeColor="background2" w:themeShade="80"/>
              </w:rPr>
            </w:pPr>
            <w:r w:rsidRPr="00D5095D">
              <w:rPr>
                <w:color w:val="747474" w:themeColor="background2" w:themeShade="80"/>
              </w:rPr>
              <w:t>4.12</w:t>
            </w:r>
          </w:p>
        </w:tc>
        <w:tc>
          <w:tcPr>
            <w:tcW w:w="2126" w:type="dxa"/>
          </w:tcPr>
          <w:p w14:paraId="39123F6A" w14:textId="7CB6A0C7" w:rsidR="005F3475" w:rsidRPr="00D5095D"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When do consumers have a right of action (4.11)?</w:t>
            </w:r>
          </w:p>
        </w:tc>
        <w:tc>
          <w:tcPr>
            <w:tcW w:w="2127" w:type="dxa"/>
          </w:tcPr>
          <w:p w14:paraId="0C179C94" w14:textId="77777777" w:rsidR="005F3475" w:rsidRPr="00D5095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14B778D6" w:rsidR="005F3475" w:rsidRPr="00D5095D" w:rsidRDefault="00E27C35" w:rsidP="00CB46D4">
            <w:pPr>
              <w:cnfStyle w:val="000000000000" w:firstRow="0" w:lastRow="0" w:firstColumn="0" w:lastColumn="0" w:oddVBand="0" w:evenVBand="0" w:oddHBand="0" w:evenHBand="0" w:firstRowFirstColumn="0" w:firstRowLastColumn="0" w:lastRowFirstColumn="0" w:lastRowLastColumn="0"/>
            </w:pPr>
            <w:r>
              <w:t>*</w:t>
            </w:r>
          </w:p>
        </w:tc>
      </w:tr>
      <w:tr w:rsidR="005F3475" w:rsidRPr="00D5095D"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D5095D" w:rsidRDefault="008C6FA9" w:rsidP="00CB46D4">
            <w:pPr>
              <w:rPr>
                <w:color w:val="747474" w:themeColor="background2" w:themeShade="80"/>
              </w:rPr>
            </w:pPr>
            <w:r w:rsidRPr="00D5095D">
              <w:rPr>
                <w:color w:val="747474" w:themeColor="background2" w:themeShade="80"/>
              </w:rPr>
              <w:t>4.13</w:t>
            </w:r>
          </w:p>
        </w:tc>
        <w:tc>
          <w:tcPr>
            <w:tcW w:w="2126" w:type="dxa"/>
          </w:tcPr>
          <w:p w14:paraId="5B967DD8" w14:textId="7997784F" w:rsidR="005F3475" w:rsidRPr="00D5095D"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What are the potential remedies?</w:t>
            </w:r>
          </w:p>
        </w:tc>
        <w:tc>
          <w:tcPr>
            <w:tcW w:w="2127" w:type="dxa"/>
          </w:tcPr>
          <w:p w14:paraId="3766A475" w14:textId="77777777" w:rsidR="005F3475" w:rsidRPr="00D5095D"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5DA36250" w:rsidR="005F3475" w:rsidRPr="00D5095D" w:rsidRDefault="00E27C35" w:rsidP="00CB46D4">
            <w:pPr>
              <w:cnfStyle w:val="000000100000" w:firstRow="0" w:lastRow="0" w:firstColumn="0" w:lastColumn="0" w:oddVBand="0" w:evenVBand="0" w:oddHBand="1" w:evenHBand="0" w:firstRowFirstColumn="0" w:firstRowLastColumn="0" w:lastRowFirstColumn="0" w:lastRowLastColumn="0"/>
            </w:pPr>
            <w:r>
              <w:t>*</w:t>
            </w:r>
          </w:p>
        </w:tc>
      </w:tr>
      <w:tr w:rsidR="005F3475" w:rsidRPr="00D5095D"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D5095D" w:rsidRDefault="008C6FA9" w:rsidP="00CB46D4">
            <w:pPr>
              <w:rPr>
                <w:color w:val="747474" w:themeColor="background2" w:themeShade="80"/>
              </w:rPr>
            </w:pPr>
            <w:r w:rsidRPr="00D5095D">
              <w:rPr>
                <w:color w:val="747474" w:themeColor="background2" w:themeShade="80"/>
              </w:rPr>
              <w:t>4.14</w:t>
            </w:r>
          </w:p>
        </w:tc>
        <w:tc>
          <w:tcPr>
            <w:tcW w:w="2126" w:type="dxa"/>
          </w:tcPr>
          <w:p w14:paraId="1DA1DD58" w14:textId="61B9D048" w:rsidR="005F3475" w:rsidRPr="00D5095D"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 xml:space="preserve">Regulatory Environment </w:t>
            </w:r>
            <w:r w:rsidRPr="00D5095D">
              <w:br/>
              <w:t>(2020-2025)</w:t>
            </w:r>
          </w:p>
        </w:tc>
        <w:tc>
          <w:tcPr>
            <w:tcW w:w="2127" w:type="dxa"/>
          </w:tcPr>
          <w:p w14:paraId="65B53CDA" w14:textId="77777777" w:rsidR="005F3475" w:rsidRPr="00D5095D"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5F3475" w:rsidRPr="00D5095D" w:rsidRDefault="005F3475" w:rsidP="00CB46D4">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D5095D" w:rsidRDefault="00291EED" w:rsidP="00291EED">
      <w:pPr>
        <w:pStyle w:val="SectionHead"/>
        <w:rPr>
          <w:rFonts w:cs="Arial"/>
        </w:rPr>
      </w:pPr>
      <w:bookmarkStart w:id="8" w:name="_Toc170216092"/>
      <w:r w:rsidRPr="00D5095D">
        <w:rPr>
          <w:rFonts w:cs="Arial"/>
        </w:rPr>
        <w:t>Advertising:  Self-regulation</w:t>
      </w:r>
      <w:bookmarkEnd w:id="8"/>
      <w:r w:rsidR="00955813" w:rsidRPr="00D5095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6"/>
        <w:gridCol w:w="5619"/>
      </w:tblGrid>
      <w:tr w:rsidR="00955813" w:rsidRPr="00D5095D" w14:paraId="6C73D816" w14:textId="77777777" w:rsidTr="1342D17E">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D5095D" w:rsidRDefault="00955813" w:rsidP="00CB46D4">
            <w:pPr>
              <w:pStyle w:val="Tableheadings"/>
              <w:spacing w:line="240" w:lineRule="auto"/>
              <w:rPr>
                <w:b/>
                <w:bCs/>
              </w:rPr>
            </w:pPr>
            <w:r w:rsidRPr="00D5095D">
              <w:rPr>
                <w:b/>
                <w:bCs/>
              </w:rPr>
              <w:t>Item</w:t>
            </w:r>
          </w:p>
        </w:tc>
        <w:tc>
          <w:tcPr>
            <w:tcW w:w="2126" w:type="dxa"/>
            <w:tcBorders>
              <w:bottom w:val="none" w:sz="0" w:space="0" w:color="auto"/>
            </w:tcBorders>
          </w:tcPr>
          <w:p w14:paraId="2DCC292C" w14:textId="77777777" w:rsidR="00955813" w:rsidRPr="00D5095D"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0C54358F" w14:textId="77777777" w:rsidR="00955813" w:rsidRPr="00D5095D"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 xml:space="preserve">Classification </w:t>
            </w:r>
          </w:p>
        </w:tc>
        <w:tc>
          <w:tcPr>
            <w:tcW w:w="5670" w:type="dxa"/>
            <w:tcBorders>
              <w:bottom w:val="none" w:sz="0" w:space="0" w:color="auto"/>
            </w:tcBorders>
          </w:tcPr>
          <w:p w14:paraId="159767BF" w14:textId="77777777" w:rsidR="00955813" w:rsidRPr="00D5095D"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Description</w:t>
            </w:r>
          </w:p>
        </w:tc>
      </w:tr>
      <w:tr w:rsidR="00955813" w:rsidRPr="00D5095D" w14:paraId="68F67FDB"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D5095D" w:rsidRDefault="00D064B9" w:rsidP="00CB46D4">
            <w:pPr>
              <w:rPr>
                <w:b w:val="0"/>
                <w:bCs w:val="0"/>
                <w:color w:val="747474" w:themeColor="background2" w:themeShade="80"/>
              </w:rPr>
            </w:pPr>
            <w:r w:rsidRPr="00D5095D">
              <w:rPr>
                <w:color w:val="747474" w:themeColor="background2" w:themeShade="80"/>
              </w:rPr>
              <w:t>5</w:t>
            </w:r>
            <w:r w:rsidR="00955813" w:rsidRPr="00D5095D">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D5095D"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Does [Country] have a primary advertising SRO?</w:t>
            </w:r>
          </w:p>
        </w:tc>
        <w:tc>
          <w:tcPr>
            <w:tcW w:w="2127" w:type="dxa"/>
            <w:tcBorders>
              <w:top w:val="none" w:sz="0" w:space="0" w:color="auto"/>
              <w:bottom w:val="none" w:sz="0" w:space="0" w:color="auto"/>
            </w:tcBorders>
          </w:tcPr>
          <w:p w14:paraId="3C413FE3" w14:textId="5FD0A2E0" w:rsidR="00955813" w:rsidRPr="00D5095D" w:rsidRDefault="00011AD0" w:rsidP="00CB46D4">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70" w:type="dxa"/>
            <w:tcBorders>
              <w:top w:val="none" w:sz="0" w:space="0" w:color="auto"/>
              <w:bottom w:val="none" w:sz="0" w:space="0" w:color="auto"/>
            </w:tcBorders>
          </w:tcPr>
          <w:p w14:paraId="2E3CAE46" w14:textId="2AD9117C" w:rsidR="00E27C35" w:rsidRPr="00D5095D" w:rsidRDefault="00E27C35" w:rsidP="00CB46D4">
            <w:pPr>
              <w:cnfStyle w:val="000000100000" w:firstRow="0" w:lastRow="0" w:firstColumn="0" w:lastColumn="0" w:oddVBand="0" w:evenVBand="0" w:oddHBand="1" w:evenHBand="0" w:firstRowFirstColumn="0" w:firstRowLastColumn="0" w:lastRowFirstColumn="0" w:lastRowLastColumn="0"/>
            </w:pPr>
            <w:r w:rsidRPr="00E27C35">
              <w:t xml:space="preserve">Yes, </w:t>
            </w:r>
            <w:hyperlink r:id="rId71" w:history="1">
              <w:r w:rsidRPr="00E521E9">
                <w:rPr>
                  <w:rStyle w:val="Hyperlink"/>
                </w:rPr>
                <w:t>the Latvian Advertising Association</w:t>
              </w:r>
            </w:hyperlink>
            <w:r w:rsidRPr="00E27C35">
              <w:t>, or Latvijas Reklāmas Asociācija</w:t>
            </w:r>
            <w:r>
              <w:t xml:space="preserve"> </w:t>
            </w:r>
            <w:r w:rsidRPr="00E27C35">
              <w:t>(LRA) (IAL 2021: 396).</w:t>
            </w:r>
            <w:r w:rsidR="00B3753C">
              <w:t xml:space="preserve"> The LRA unites advertisers, media, and agencies into the largest association in the advertising industry. It has an Ethics Board which reviews potential infringements of advertising rules contained in </w:t>
            </w:r>
            <w:r w:rsidR="00B3753C" w:rsidRPr="007179A5">
              <w:rPr>
                <w:rStyle w:val="normaltextrun"/>
                <w:color w:val="000000"/>
                <w:shd w:val="clear" w:color="auto" w:fill="FFFFFF"/>
              </w:rPr>
              <w:t>the Latvian Advertising Professionals' Code of Ethics (</w:t>
            </w:r>
            <w:hyperlink r:id="rId72" w:tgtFrame="_blank" w:history="1">
              <w:r w:rsidR="00B3753C" w:rsidRPr="007179A5">
                <w:rPr>
                  <w:rStyle w:val="normaltextrun"/>
                  <w:color w:val="0563C1"/>
                  <w:u w:val="single"/>
                  <w:shd w:val="clear" w:color="auto" w:fill="FFFFFF"/>
                </w:rPr>
                <w:t>Latvian Advertising Association 2014</w:t>
              </w:r>
            </w:hyperlink>
            <w:r w:rsidR="00B3753C">
              <w:rPr>
                <w:rStyle w:val="normaltextrun"/>
                <w:color w:val="000000"/>
                <w:shd w:val="clear" w:color="auto" w:fill="FFFFFF"/>
              </w:rPr>
              <w:t>; GALA 2024: 655)</w:t>
            </w:r>
            <w:r w:rsidR="00B3753C" w:rsidRPr="007179A5">
              <w:rPr>
                <w:rStyle w:val="normaltextrun"/>
                <w:color w:val="000000"/>
                <w:shd w:val="clear" w:color="auto" w:fill="FFFFFF"/>
              </w:rPr>
              <w:t>.</w:t>
            </w:r>
          </w:p>
        </w:tc>
      </w:tr>
      <w:tr w:rsidR="00955813" w:rsidRPr="00D5095D" w14:paraId="03C0A1A2"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D5095D" w:rsidRDefault="00D064B9" w:rsidP="00CB46D4">
            <w:pPr>
              <w:rPr>
                <w:color w:val="3A3A3A" w:themeColor="background2" w:themeShade="40"/>
              </w:rPr>
            </w:pPr>
            <w:r w:rsidRPr="00D5095D">
              <w:rPr>
                <w:color w:val="747474" w:themeColor="background2" w:themeShade="80"/>
              </w:rPr>
              <w:t>5</w:t>
            </w:r>
            <w:r w:rsidR="00955813" w:rsidRPr="00D5095D">
              <w:rPr>
                <w:color w:val="747474" w:themeColor="background2" w:themeShade="80"/>
              </w:rPr>
              <w:t>.2</w:t>
            </w:r>
          </w:p>
        </w:tc>
        <w:tc>
          <w:tcPr>
            <w:tcW w:w="2126" w:type="dxa"/>
          </w:tcPr>
          <w:p w14:paraId="69F45E9E" w14:textId="6049CAAC" w:rsidR="00955813" w:rsidRPr="00D5095D"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What year was the SRO created [revised]?</w:t>
            </w:r>
          </w:p>
        </w:tc>
        <w:tc>
          <w:tcPr>
            <w:tcW w:w="2127" w:type="dxa"/>
          </w:tcPr>
          <w:p w14:paraId="5EDED1A7" w14:textId="77777777" w:rsidR="00955813" w:rsidRPr="00D5095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28F82C06" w:rsidR="00955813" w:rsidRPr="00D5095D" w:rsidRDefault="00000000" w:rsidP="00CB46D4">
            <w:pPr>
              <w:cnfStyle w:val="000000000000" w:firstRow="0" w:lastRow="0" w:firstColumn="0" w:lastColumn="0" w:oddVBand="0" w:evenVBand="0" w:oddHBand="0" w:evenHBand="0" w:firstRowFirstColumn="0" w:firstRowLastColumn="0" w:lastRowFirstColumn="0" w:lastRowLastColumn="0"/>
            </w:pPr>
            <w:hyperlink r:id="rId73" w:history="1">
              <w:r w:rsidR="00F41FAB" w:rsidRPr="00E521E9">
                <w:rPr>
                  <w:rStyle w:val="Hyperlink"/>
                </w:rPr>
                <w:t>The Latvian Advertising Association</w:t>
              </w:r>
            </w:hyperlink>
            <w:r w:rsidR="00F41FAB" w:rsidRPr="00E27C35">
              <w:t>, or Latvijas Reklāmas Asociācija</w:t>
            </w:r>
            <w:r w:rsidR="00F41FAB">
              <w:t xml:space="preserve"> </w:t>
            </w:r>
            <w:r w:rsidR="00F41FAB" w:rsidRPr="00E27C35">
              <w:t xml:space="preserve">(LRA) </w:t>
            </w:r>
            <w:r w:rsidR="00F41FAB">
              <w:t>was created in</w:t>
            </w:r>
            <w:r w:rsidR="00F41FAB" w:rsidRPr="00F41FAB">
              <w:t xml:space="preserve"> 1994</w:t>
            </w:r>
            <w:r w:rsidR="00F41FAB">
              <w:t xml:space="preserve"> (</w:t>
            </w:r>
            <w:hyperlink r:id="rId74" w:history="1">
              <w:r w:rsidR="00F41FAB" w:rsidRPr="00F41FAB">
                <w:rPr>
                  <w:rStyle w:val="Hyperlink"/>
                </w:rPr>
                <w:t>Jauns.lv 2024</w:t>
              </w:r>
            </w:hyperlink>
            <w:r w:rsidR="00F41FAB" w:rsidRPr="00F41FAB">
              <w:t>)</w:t>
            </w:r>
            <w:r w:rsidR="00F41FAB">
              <w:t>.</w:t>
            </w:r>
          </w:p>
        </w:tc>
      </w:tr>
      <w:tr w:rsidR="00955813" w:rsidRPr="00D5095D" w14:paraId="3CEC7F0A"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D5095D"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No. of staff at SRO [year]?</w:t>
            </w:r>
          </w:p>
        </w:tc>
        <w:tc>
          <w:tcPr>
            <w:tcW w:w="2127" w:type="dxa"/>
            <w:tcBorders>
              <w:top w:val="none" w:sz="0" w:space="0" w:color="auto"/>
              <w:bottom w:val="none" w:sz="0" w:space="0" w:color="auto"/>
            </w:tcBorders>
          </w:tcPr>
          <w:p w14:paraId="67542701" w14:textId="77777777" w:rsidR="00955813" w:rsidRPr="00D5095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2694E45" w14:textId="20FB20C4" w:rsidR="00955813" w:rsidRPr="00587B92" w:rsidRDefault="00587B92" w:rsidP="00CB46D4">
            <w:pPr>
              <w:cnfStyle w:val="000000100000" w:firstRow="0" w:lastRow="0" w:firstColumn="0" w:lastColumn="0" w:oddVBand="0" w:evenVBand="0" w:oddHBand="1" w:evenHBand="0" w:firstRowFirstColumn="0" w:firstRowLastColumn="0" w:lastRowFirstColumn="0" w:lastRowLastColumn="0"/>
              <w:rPr>
                <w:i/>
                <w:iCs/>
              </w:rPr>
            </w:pPr>
            <w:r w:rsidRPr="00587B92">
              <w:rPr>
                <w:i/>
                <w:iCs/>
              </w:rPr>
              <w:t>No data available.</w:t>
            </w:r>
          </w:p>
        </w:tc>
      </w:tr>
      <w:tr w:rsidR="00955813" w:rsidRPr="00D5095D" w14:paraId="5F25C89C"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.4</w:t>
            </w:r>
          </w:p>
        </w:tc>
        <w:tc>
          <w:tcPr>
            <w:tcW w:w="2126" w:type="dxa"/>
          </w:tcPr>
          <w:p w14:paraId="3F5A5283" w14:textId="37CD39A6" w:rsidR="00955813" w:rsidRPr="00D5095D"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SRO Annual Budget? [year]</w:t>
            </w:r>
          </w:p>
        </w:tc>
        <w:tc>
          <w:tcPr>
            <w:tcW w:w="2127" w:type="dxa"/>
          </w:tcPr>
          <w:p w14:paraId="071C38D8" w14:textId="77777777" w:rsidR="00955813" w:rsidRPr="00D5095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624601C5" w:rsidR="00955813" w:rsidRPr="00D5095D" w:rsidRDefault="00587B92" w:rsidP="00CB46D4">
            <w:pPr>
              <w:cnfStyle w:val="000000000000" w:firstRow="0" w:lastRow="0" w:firstColumn="0" w:lastColumn="0" w:oddVBand="0" w:evenVBand="0" w:oddHBand="0" w:evenHBand="0" w:firstRowFirstColumn="0" w:firstRowLastColumn="0" w:lastRowFirstColumn="0" w:lastRowLastColumn="0"/>
            </w:pPr>
            <w:r w:rsidRPr="00587B92">
              <w:rPr>
                <w:i/>
                <w:iCs/>
              </w:rPr>
              <w:t>No data available.</w:t>
            </w:r>
          </w:p>
        </w:tc>
      </w:tr>
      <w:tr w:rsidR="00955813" w:rsidRPr="00D5095D" w14:paraId="3B655659"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D5095D" w:rsidRDefault="00D064B9" w:rsidP="00CB46D4">
            <w:pPr>
              <w:rPr>
                <w:color w:val="747474" w:themeColor="background2" w:themeShade="80"/>
              </w:rPr>
            </w:pPr>
            <w:r w:rsidRPr="00D5095D">
              <w:rPr>
                <w:color w:val="747474" w:themeColor="background2" w:themeShade="80"/>
              </w:rPr>
              <w:lastRenderedPageBreak/>
              <w:t>5</w:t>
            </w:r>
            <w:r w:rsidR="00955813" w:rsidRPr="00D5095D">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D5095D"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How is SRO financed? [type]</w:t>
            </w:r>
          </w:p>
        </w:tc>
        <w:tc>
          <w:tcPr>
            <w:tcW w:w="2127" w:type="dxa"/>
            <w:tcBorders>
              <w:top w:val="none" w:sz="0" w:space="0" w:color="auto"/>
              <w:bottom w:val="none" w:sz="0" w:space="0" w:color="auto"/>
            </w:tcBorders>
          </w:tcPr>
          <w:p w14:paraId="512D1B8F" w14:textId="77777777" w:rsidR="00955813" w:rsidRPr="00D5095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179A8072" w:rsidR="00955813" w:rsidRPr="00D5095D" w:rsidRDefault="00000000" w:rsidP="00CB46D4">
            <w:pPr>
              <w:cnfStyle w:val="000000100000" w:firstRow="0" w:lastRow="0" w:firstColumn="0" w:lastColumn="0" w:oddVBand="0" w:evenVBand="0" w:oddHBand="1" w:evenHBand="0" w:firstRowFirstColumn="0" w:firstRowLastColumn="0" w:lastRowFirstColumn="0" w:lastRowLastColumn="0"/>
            </w:pPr>
            <w:hyperlink r:id="rId75" w:history="1">
              <w:r w:rsidR="00B67C03" w:rsidRPr="00E521E9">
                <w:rPr>
                  <w:rStyle w:val="Hyperlink"/>
                </w:rPr>
                <w:t>The Latvian Advertising Association</w:t>
              </w:r>
            </w:hyperlink>
            <w:r w:rsidR="00B67C03" w:rsidRPr="00E27C35">
              <w:t>, or Latvijas Reklāmas Asociācija</w:t>
            </w:r>
            <w:r w:rsidR="00B67C03">
              <w:t xml:space="preserve"> </w:t>
            </w:r>
            <w:r w:rsidR="00B67C03" w:rsidRPr="00E27C35">
              <w:t xml:space="preserve">(LRA) </w:t>
            </w:r>
            <w:r w:rsidR="00B67C03" w:rsidRPr="00B67C03">
              <w:t>is primarily financed through membership fees</w:t>
            </w:r>
            <w:r w:rsidR="00B67C03">
              <w:t xml:space="preserve"> </w:t>
            </w:r>
            <w:r w:rsidR="00587B92">
              <w:t>(</w:t>
            </w:r>
            <w:hyperlink r:id="rId76" w:history="1">
              <w:r w:rsidR="00587B92" w:rsidRPr="00B67C03">
                <w:rPr>
                  <w:rStyle w:val="Hyperlink"/>
                </w:rPr>
                <w:t>Latvian Advertising Association n.d.</w:t>
              </w:r>
            </w:hyperlink>
            <w:r w:rsidR="00587B92" w:rsidRPr="00587B92">
              <w:t>).</w:t>
            </w:r>
          </w:p>
        </w:tc>
      </w:tr>
      <w:tr w:rsidR="00D15589" w:rsidRPr="00D5095D" w14:paraId="4659D8DD"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D5095D" w:rsidRDefault="00D15589" w:rsidP="00CB46D4">
            <w:pPr>
              <w:rPr>
                <w:color w:val="747474" w:themeColor="background2" w:themeShade="80"/>
              </w:rPr>
            </w:pPr>
            <w:r w:rsidRPr="00D5095D">
              <w:rPr>
                <w:color w:val="747474" w:themeColor="background2" w:themeShade="80"/>
              </w:rPr>
              <w:t>5.6</w:t>
            </w:r>
          </w:p>
        </w:tc>
        <w:tc>
          <w:tcPr>
            <w:tcW w:w="2126" w:type="dxa"/>
          </w:tcPr>
          <w:p w14:paraId="1EEE2356" w14:textId="45BCA62C" w:rsidR="00D15589" w:rsidRPr="00D5095D"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What are the entities (market actors/sectors) included in the SRO 5.6a[Note scope and exclusions 5.6b</w:t>
            </w:r>
          </w:p>
        </w:tc>
        <w:tc>
          <w:tcPr>
            <w:tcW w:w="2127" w:type="dxa"/>
          </w:tcPr>
          <w:p w14:paraId="30CE5596" w14:textId="77777777" w:rsidR="00D15589" w:rsidRPr="00D5095D"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367413B4" w:rsidR="00D15589" w:rsidRPr="00D5095D" w:rsidRDefault="00000000" w:rsidP="00CB46D4">
            <w:pPr>
              <w:cnfStyle w:val="000000000000" w:firstRow="0" w:lastRow="0" w:firstColumn="0" w:lastColumn="0" w:oddVBand="0" w:evenVBand="0" w:oddHBand="0" w:evenHBand="0" w:firstRowFirstColumn="0" w:firstRowLastColumn="0" w:lastRowFirstColumn="0" w:lastRowLastColumn="0"/>
            </w:pPr>
            <w:hyperlink r:id="rId77" w:history="1">
              <w:r w:rsidR="00F41FAB" w:rsidRPr="00E521E9">
                <w:rPr>
                  <w:rStyle w:val="Hyperlink"/>
                </w:rPr>
                <w:t>The Latvian Advertising Association</w:t>
              </w:r>
            </w:hyperlink>
            <w:r w:rsidR="00F41FAB" w:rsidRPr="00E27C35">
              <w:t>, or Latvijas Reklāmas Asociācija</w:t>
            </w:r>
            <w:r w:rsidR="00F41FAB">
              <w:t xml:space="preserve"> </w:t>
            </w:r>
            <w:r w:rsidR="00F41FAB" w:rsidRPr="00E27C35">
              <w:t xml:space="preserve">(LRA) </w:t>
            </w:r>
            <w:r w:rsidR="00F41FAB">
              <w:t>had</w:t>
            </w:r>
            <w:r w:rsidR="00F41FAB" w:rsidRPr="00F41FAB">
              <w:t xml:space="preserve"> 21 members</w:t>
            </w:r>
            <w:r w:rsidR="00F41FAB">
              <w:t xml:space="preserve"> at its inception, and</w:t>
            </w:r>
            <w:r w:rsidR="00B67C03">
              <w:t>,</w:t>
            </w:r>
            <w:r w:rsidR="00F41FAB">
              <w:t xml:space="preserve"> as of 2024</w:t>
            </w:r>
            <w:r w:rsidR="00F41FAB" w:rsidRPr="00F41FAB">
              <w:t xml:space="preserve">, </w:t>
            </w:r>
            <w:r w:rsidR="00F41FAB">
              <w:t xml:space="preserve">there are </w:t>
            </w:r>
            <w:r w:rsidR="00F41FAB" w:rsidRPr="00F41FAB">
              <w:t>44 active members,</w:t>
            </w:r>
            <w:r w:rsidR="00F41FAB">
              <w:t xml:space="preserve"> which include</w:t>
            </w:r>
            <w:r w:rsidR="00F41FAB" w:rsidRPr="00F41FAB">
              <w:t xml:space="preserve"> agencies, media, media audience research companies and advertisers</w:t>
            </w:r>
            <w:r w:rsidR="00F41FAB">
              <w:t xml:space="preserve"> (</w:t>
            </w:r>
            <w:hyperlink r:id="rId78" w:history="1">
              <w:r w:rsidR="00F41FAB" w:rsidRPr="00F41FAB">
                <w:rPr>
                  <w:rStyle w:val="Hyperlink"/>
                </w:rPr>
                <w:t>Jauns.lv 2024</w:t>
              </w:r>
            </w:hyperlink>
            <w:r w:rsidR="00F41FAB" w:rsidRPr="00F41FAB">
              <w:t>)</w:t>
            </w:r>
            <w:r w:rsidR="00F41FAB">
              <w:t>.</w:t>
            </w:r>
          </w:p>
        </w:tc>
      </w:tr>
      <w:tr w:rsidR="00955813" w:rsidRPr="00D5095D" w14:paraId="35ADC04D"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.6</w:t>
            </w:r>
          </w:p>
        </w:tc>
        <w:tc>
          <w:tcPr>
            <w:tcW w:w="2126" w:type="dxa"/>
          </w:tcPr>
          <w:p w14:paraId="74215B84" w14:textId="3D5D2728" w:rsidR="00955813" w:rsidRPr="00D5095D"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Is there a self-reg. code?</w:t>
            </w:r>
          </w:p>
        </w:tc>
        <w:tc>
          <w:tcPr>
            <w:tcW w:w="2127" w:type="dxa"/>
          </w:tcPr>
          <w:p w14:paraId="3EC0C5EC" w14:textId="77777777" w:rsidR="00955813" w:rsidRPr="00D5095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54CD444E" w:rsidR="00955813" w:rsidRPr="007179A5" w:rsidRDefault="007179A5" w:rsidP="00CB46D4">
            <w:pPr>
              <w:cnfStyle w:val="000000100000" w:firstRow="0" w:lastRow="0" w:firstColumn="0" w:lastColumn="0" w:oddVBand="0" w:evenVBand="0" w:oddHBand="1" w:evenHBand="0" w:firstRowFirstColumn="0" w:firstRowLastColumn="0" w:lastRowFirstColumn="0" w:lastRowLastColumn="0"/>
            </w:pPr>
            <w:r w:rsidRPr="007179A5">
              <w:rPr>
                <w:rStyle w:val="normaltextrun"/>
                <w:color w:val="000000"/>
                <w:shd w:val="clear" w:color="auto" w:fill="FFFFFF"/>
              </w:rPr>
              <w:t>Yes, the Latvian Advertising Professionals' Code of Ethics (</w:t>
            </w:r>
            <w:hyperlink r:id="rId79" w:tgtFrame="_blank" w:history="1">
              <w:r w:rsidRPr="007179A5">
                <w:rPr>
                  <w:rStyle w:val="normaltextrun"/>
                  <w:color w:val="0563C1"/>
                  <w:u w:val="single"/>
                  <w:shd w:val="clear" w:color="auto" w:fill="FFFFFF"/>
                </w:rPr>
                <w:t>Latvian Advertising Association 2014</w:t>
              </w:r>
            </w:hyperlink>
            <w:r w:rsidRPr="007179A5">
              <w:rPr>
                <w:rStyle w:val="normaltextrun"/>
                <w:color w:val="000000"/>
                <w:shd w:val="clear" w:color="auto" w:fill="FFFFFF"/>
              </w:rPr>
              <w:t>). ‘The Code was adopted at the General Meeting of LRA Members on November 25, 2009. The new version was approved at the General Meeting of LRA Members on December 10, 2014’ (</w:t>
            </w:r>
            <w:hyperlink r:id="rId80" w:tgtFrame="_blank" w:history="1">
              <w:r w:rsidRPr="007179A5">
                <w:rPr>
                  <w:rStyle w:val="normaltextrun"/>
                  <w:color w:val="0563C1"/>
                  <w:u w:val="single"/>
                  <w:shd w:val="clear" w:color="auto" w:fill="FFFFFF"/>
                </w:rPr>
                <w:t>Latvian Advertising Association 2014:</w:t>
              </w:r>
            </w:hyperlink>
            <w:r w:rsidRPr="007179A5">
              <w:rPr>
                <w:rStyle w:val="normaltextrun"/>
                <w:color w:val="000000"/>
                <w:shd w:val="clear" w:color="auto" w:fill="FFFFFF"/>
              </w:rPr>
              <w:t xml:space="preserve"> 12).</w:t>
            </w:r>
            <w:r w:rsidRPr="007179A5">
              <w:rPr>
                <w:rStyle w:val="eop"/>
                <w:color w:val="000000"/>
                <w:shd w:val="clear" w:color="auto" w:fill="FFFFFF"/>
              </w:rPr>
              <w:t> </w:t>
            </w:r>
          </w:p>
        </w:tc>
      </w:tr>
      <w:tr w:rsidR="00955813" w:rsidRPr="00D5095D" w14:paraId="09268F88"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.7</w:t>
            </w:r>
          </w:p>
        </w:tc>
        <w:tc>
          <w:tcPr>
            <w:tcW w:w="2126" w:type="dxa"/>
          </w:tcPr>
          <w:p w14:paraId="3A1FDFB0" w14:textId="08B9A475" w:rsidR="00955813" w:rsidRPr="00D5095D"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What are the key principles of the code?</w:t>
            </w:r>
          </w:p>
        </w:tc>
        <w:tc>
          <w:tcPr>
            <w:tcW w:w="2127" w:type="dxa"/>
          </w:tcPr>
          <w:p w14:paraId="73D53FEC" w14:textId="77777777" w:rsidR="00955813" w:rsidRPr="00D5095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D76A004" w14:textId="039CFDD4" w:rsidR="00587B92" w:rsidRPr="00587B92" w:rsidRDefault="00587B92" w:rsidP="00587B92">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87B92">
              <w:rPr>
                <w:rFonts w:eastAsia="Times New Roman"/>
                <w:lang w:eastAsia="en-GB"/>
              </w:rPr>
              <w:t>Advertising Professionals are obligated to follow the Latvian law, the European Union Law, the rules of the Code, and the rules of any other self-regulatory code that applies. Beyond the obligations towards the clients, many of the rules focus on principles of professionalism, respect</w:t>
            </w:r>
            <w:r>
              <w:rPr>
                <w:rFonts w:eastAsia="Times New Roman"/>
                <w:lang w:eastAsia="en-GB"/>
              </w:rPr>
              <w:t>,</w:t>
            </w:r>
            <w:r w:rsidRPr="00587B92">
              <w:rPr>
                <w:rFonts w:eastAsia="Times New Roman"/>
                <w:lang w:eastAsia="en-GB"/>
              </w:rPr>
              <w:t xml:space="preserve"> and collaboration amongst advertisers.  </w:t>
            </w:r>
          </w:p>
          <w:p w14:paraId="4AE5AB0B" w14:textId="77777777" w:rsidR="00587B92" w:rsidRPr="00587B92" w:rsidRDefault="00587B92" w:rsidP="00587B92">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87B92">
              <w:rPr>
                <w:rFonts w:eastAsia="Times New Roman"/>
                <w:lang w:eastAsia="en-GB"/>
              </w:rPr>
              <w:t> </w:t>
            </w:r>
          </w:p>
          <w:p w14:paraId="67DFACEB" w14:textId="77777777" w:rsidR="00587B92" w:rsidRPr="00587B92" w:rsidRDefault="00587B92" w:rsidP="00587B92">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587B92">
              <w:rPr>
                <w:rFonts w:eastAsia="Times New Roman"/>
                <w:lang w:eastAsia="en-GB"/>
              </w:rPr>
              <w:t>Section 7 contains the general rules and states:  </w:t>
            </w:r>
          </w:p>
          <w:p w14:paraId="0AF9B11B" w14:textId="77777777" w:rsidR="00587B92" w:rsidRPr="00587B92" w:rsidRDefault="00587B92" w:rsidP="00587B92">
            <w:pPr>
              <w:pStyle w:val="ListParagraph"/>
              <w:numPr>
                <w:ilvl w:val="0"/>
                <w:numId w:val="2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‘advertising must be legal, (…) be created in compliance with the applicable legal framework, ensuring that it does not conflict with the applicable legal norms.  </w:t>
            </w:r>
          </w:p>
          <w:p w14:paraId="280C0458" w14:textId="77777777" w:rsidR="00587B92" w:rsidRPr="00587B92" w:rsidRDefault="00587B92" w:rsidP="00587B92">
            <w:pPr>
              <w:pStyle w:val="ListParagraph"/>
              <w:numPr>
                <w:ilvl w:val="0"/>
                <w:numId w:val="2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advertising must respect the principles and human rights set forth in international agreements binding on Latvia, the legal norms of the European Union, the Constitution of the Republic of Latvia and other regulatory acts.  </w:t>
            </w:r>
          </w:p>
          <w:p w14:paraId="700F6BE6" w14:textId="77777777" w:rsidR="00587B92" w:rsidRPr="00587B92" w:rsidRDefault="00587B92" w:rsidP="00587B92">
            <w:pPr>
              <w:pStyle w:val="ListParagraph"/>
              <w:numPr>
                <w:ilvl w:val="0"/>
                <w:numId w:val="2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the advertisement must not contain anything that violates or encourages the violation of the law. </w:t>
            </w:r>
          </w:p>
          <w:p w14:paraId="1AAB3EC8" w14:textId="77777777" w:rsidR="00587B92" w:rsidRPr="00587B92" w:rsidRDefault="00587B92" w:rsidP="00587B92">
            <w:pPr>
              <w:pStyle w:val="ListParagraph"/>
              <w:numPr>
                <w:ilvl w:val="0"/>
                <w:numId w:val="2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in the process of creating and distributing advertising, the general and socially accepted principles and norms of decency, ethics, morality, humanism, morality and mutual respect must be followed.  </w:t>
            </w:r>
          </w:p>
          <w:p w14:paraId="36944B9C" w14:textId="77777777" w:rsidR="00587B92" w:rsidRPr="00587B92" w:rsidRDefault="00587B92" w:rsidP="00587B92">
            <w:pPr>
              <w:pStyle w:val="ListParagraph"/>
              <w:numPr>
                <w:ilvl w:val="0"/>
                <w:numId w:val="26"/>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 xml:space="preserve">the advertisement must not contain offensive and discriminatory elements, especially in relation to race, skin color, nationality, religion, gender, age, sexual orientation, dysfunctions caused by diseases, political beliefs, social origin, financial status, etc. When determining the significance of a possible or already occurring offense, the context (for example, advertising medium, </w:t>
            </w:r>
            <w:r w:rsidRPr="00587B92">
              <w:rPr>
                <w:rFonts w:eastAsia="Times New Roman"/>
                <w:lang w:eastAsia="en-GB"/>
              </w:rPr>
              <w:lastRenderedPageBreak/>
              <w:t>audience, object of advertising) should be taken into account.  </w:t>
            </w:r>
          </w:p>
          <w:p w14:paraId="7225680D" w14:textId="77777777" w:rsidR="00587B92" w:rsidRPr="00587B92" w:rsidRDefault="00587B92" w:rsidP="00587B92">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advertising must not offend the honor and dignity, including reputation, of a natural or legal person [Google Translate]’ (</w:t>
            </w:r>
            <w:hyperlink r:id="rId81" w:tgtFrame="_blank" w:history="1">
              <w:r w:rsidRPr="00587B92">
                <w:rPr>
                  <w:rFonts w:eastAsia="Times New Roman"/>
                  <w:color w:val="0563C1"/>
                  <w:u w:val="single"/>
                  <w:lang w:eastAsia="en-GB"/>
                </w:rPr>
                <w:t>Latvian Advertising Association 2014:</w:t>
              </w:r>
            </w:hyperlink>
            <w:r w:rsidRPr="00587B92">
              <w:rPr>
                <w:rFonts w:eastAsia="Times New Roman"/>
                <w:lang w:eastAsia="en-GB"/>
              </w:rPr>
              <w:t xml:space="preserve"> 4). </w:t>
            </w:r>
          </w:p>
          <w:p w14:paraId="2015A666" w14:textId="77777777" w:rsidR="00587B92" w:rsidRPr="00587B92" w:rsidRDefault="00587B92" w:rsidP="00587B92">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advertising must be truthful and objective.  </w:t>
            </w:r>
          </w:p>
          <w:p w14:paraId="799D4B47" w14:textId="77777777" w:rsidR="00587B92" w:rsidRPr="00587B92" w:rsidRDefault="00587B92" w:rsidP="00587B92">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The advertisement must not be misleading or [lead to a] misunderstanding due to its inaccuracy, exaggeration, ambiguity, as well as defaults used or for other reasons. A misleading advertisement is an advertisement that, in any way, including the way it is presented, directly or indirectly misleads or could mislead, and which, due to its misleading nature, could affect the economic behavior of a person or which harms or could harm a competitor (…). </w:t>
            </w:r>
          </w:p>
          <w:p w14:paraId="225DD3C9" w14:textId="77777777" w:rsidR="00587B92" w:rsidRPr="00587B92" w:rsidRDefault="00587B92" w:rsidP="00587B92">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advertising must be objective from the point of view of the client, the content creator, the target audience and the consumer.  </w:t>
            </w:r>
          </w:p>
          <w:p w14:paraId="57022A88" w14:textId="3E9FF72D" w:rsidR="00955813" w:rsidRPr="00587B92" w:rsidRDefault="00587B92" w:rsidP="00587B92">
            <w:pPr>
              <w:pStyle w:val="ListParagraph"/>
              <w:numPr>
                <w:ilvl w:val="0"/>
                <w:numId w:val="25"/>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587B92">
              <w:rPr>
                <w:rFonts w:eastAsia="Times New Roman"/>
                <w:lang w:eastAsia="en-GB"/>
              </w:rPr>
              <w:t>advertising must not be presented as news’ (</w:t>
            </w:r>
            <w:hyperlink r:id="rId82" w:tgtFrame="_blank" w:history="1">
              <w:r w:rsidRPr="00587B92">
                <w:rPr>
                  <w:rFonts w:eastAsia="Times New Roman"/>
                  <w:color w:val="0563C1"/>
                  <w:u w:val="single"/>
                  <w:lang w:eastAsia="en-GB"/>
                </w:rPr>
                <w:t>Latvian Advertising Association 2014:</w:t>
              </w:r>
            </w:hyperlink>
            <w:r w:rsidRPr="00587B92">
              <w:rPr>
                <w:rFonts w:eastAsia="Times New Roman"/>
                <w:lang w:eastAsia="en-GB"/>
              </w:rPr>
              <w:t xml:space="preserve"> 5). </w:t>
            </w:r>
          </w:p>
        </w:tc>
      </w:tr>
      <w:tr w:rsidR="00955813" w:rsidRPr="00D5095D" w14:paraId="3B41F180"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D5095D" w:rsidRDefault="00D064B9" w:rsidP="00CB46D4">
            <w:pPr>
              <w:rPr>
                <w:color w:val="747474" w:themeColor="background2" w:themeShade="80"/>
              </w:rPr>
            </w:pPr>
            <w:r w:rsidRPr="00D5095D">
              <w:rPr>
                <w:color w:val="747474" w:themeColor="background2" w:themeShade="80"/>
              </w:rPr>
              <w:lastRenderedPageBreak/>
              <w:t>5</w:t>
            </w:r>
            <w:r w:rsidR="00955813" w:rsidRPr="00D5095D">
              <w:rPr>
                <w:color w:val="747474" w:themeColor="background2" w:themeShade="80"/>
              </w:rPr>
              <w:t>.8</w:t>
            </w:r>
          </w:p>
        </w:tc>
        <w:tc>
          <w:tcPr>
            <w:tcW w:w="2126" w:type="dxa"/>
          </w:tcPr>
          <w:p w14:paraId="37A253A9" w14:textId="7AE84B86" w:rsidR="00955813" w:rsidRPr="00D5095D"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Is the code ICC derived?</w:t>
            </w:r>
          </w:p>
        </w:tc>
        <w:tc>
          <w:tcPr>
            <w:tcW w:w="2127" w:type="dxa"/>
          </w:tcPr>
          <w:p w14:paraId="6970574E" w14:textId="77777777" w:rsidR="00955813" w:rsidRPr="00587B92"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2678269F" w:rsidR="00955813" w:rsidRPr="00587B92" w:rsidRDefault="00587B92" w:rsidP="00CB46D4">
            <w:pPr>
              <w:cnfStyle w:val="000000100000" w:firstRow="0" w:lastRow="0" w:firstColumn="0" w:lastColumn="0" w:oddVBand="0" w:evenVBand="0" w:oddHBand="1" w:evenHBand="0" w:firstRowFirstColumn="0" w:firstRowLastColumn="0" w:lastRowFirstColumn="0" w:lastRowLastColumn="0"/>
            </w:pPr>
            <w:r w:rsidRPr="00587B92">
              <w:rPr>
                <w:rStyle w:val="normaltextrun"/>
                <w:color w:val="000000"/>
                <w:shd w:val="clear" w:color="auto" w:fill="FFFFFF"/>
              </w:rPr>
              <w:t>No, the Latvian Advertising Professionals' Code of Ethics is not based on the ICC Code (</w:t>
            </w:r>
            <w:hyperlink r:id="rId83" w:tgtFrame="_blank" w:history="1">
              <w:r w:rsidRPr="00587B92">
                <w:rPr>
                  <w:rStyle w:val="normaltextrun"/>
                  <w:color w:val="0563C1"/>
                  <w:u w:val="single"/>
                  <w:shd w:val="clear" w:color="auto" w:fill="FFFFFF"/>
                </w:rPr>
                <w:t>ICC 2021</w:t>
              </w:r>
            </w:hyperlink>
            <w:r w:rsidRPr="00587B92">
              <w:rPr>
                <w:rStyle w:val="normaltextrun"/>
                <w:color w:val="000000"/>
                <w:shd w:val="clear" w:color="auto" w:fill="FFFFFF"/>
              </w:rPr>
              <w:t>).</w:t>
            </w:r>
            <w:r w:rsidRPr="00587B92">
              <w:rPr>
                <w:rStyle w:val="eop"/>
                <w:color w:val="000000"/>
                <w:shd w:val="clear" w:color="auto" w:fill="FFFFFF"/>
              </w:rPr>
              <w:t> </w:t>
            </w:r>
          </w:p>
        </w:tc>
      </w:tr>
      <w:tr w:rsidR="00955813" w:rsidRPr="00D5095D" w14:paraId="69A84C2C"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.9</w:t>
            </w:r>
          </w:p>
        </w:tc>
        <w:tc>
          <w:tcPr>
            <w:tcW w:w="2126" w:type="dxa"/>
          </w:tcPr>
          <w:p w14:paraId="3C2FB5D0" w14:textId="64C569D4" w:rsidR="00955813" w:rsidRPr="00D5095D"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Is the primary SRO a formal member of a supranational association?</w:t>
            </w:r>
          </w:p>
        </w:tc>
        <w:tc>
          <w:tcPr>
            <w:tcW w:w="2127" w:type="dxa"/>
          </w:tcPr>
          <w:p w14:paraId="0D5EB7B8" w14:textId="77777777" w:rsidR="00955813" w:rsidRPr="00D5095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54F2701C" w:rsidR="00955813" w:rsidRPr="00D5095D" w:rsidRDefault="00000000" w:rsidP="00CB46D4">
            <w:pPr>
              <w:cnfStyle w:val="000000000000" w:firstRow="0" w:lastRow="0" w:firstColumn="0" w:lastColumn="0" w:oddVBand="0" w:evenVBand="0" w:oddHBand="0" w:evenHBand="0" w:firstRowFirstColumn="0" w:firstRowLastColumn="0" w:lastRowFirstColumn="0" w:lastRowLastColumn="0"/>
            </w:pPr>
            <w:hyperlink r:id="rId84" w:history="1">
              <w:r w:rsidR="00B67C03" w:rsidRPr="00E521E9">
                <w:rPr>
                  <w:rStyle w:val="Hyperlink"/>
                </w:rPr>
                <w:t>The Latvian Advertising Association</w:t>
              </w:r>
            </w:hyperlink>
            <w:r w:rsidR="00B67C03" w:rsidRPr="00E27C35">
              <w:t>, or Latvijas Reklāmas Asociācija</w:t>
            </w:r>
            <w:r w:rsidR="00B67C03">
              <w:t xml:space="preserve"> </w:t>
            </w:r>
            <w:r w:rsidR="00B67C03" w:rsidRPr="00E27C35">
              <w:t xml:space="preserve">(LRA) </w:t>
            </w:r>
            <w:r w:rsidR="00B67C03" w:rsidRPr="00B67C03">
              <w:t xml:space="preserve">is </w:t>
            </w:r>
            <w:r w:rsidR="00B67C03">
              <w:t xml:space="preserve">a member of </w:t>
            </w:r>
            <w:r w:rsidR="00B67C03" w:rsidRPr="00B67C03">
              <w:t>the European Association of Communications Agencies (EACA)</w:t>
            </w:r>
            <w:r w:rsidR="00B67C03">
              <w:t xml:space="preserve"> and all </w:t>
            </w:r>
            <w:r w:rsidR="00B67C03" w:rsidRPr="00B67C03">
              <w:t>agencies that join the LRA are</w:t>
            </w:r>
            <w:r w:rsidR="00B67C03">
              <w:t xml:space="preserve"> also</w:t>
            </w:r>
            <w:r w:rsidR="00B67C03" w:rsidRPr="00B67C03">
              <w:t xml:space="preserve"> required to pay EACA membership fees</w:t>
            </w:r>
            <w:r w:rsidR="00B67C03">
              <w:t xml:space="preserve"> of</w:t>
            </w:r>
            <w:r w:rsidR="00B67C03" w:rsidRPr="00B67C03">
              <w:t xml:space="preserve"> 120 </w:t>
            </w:r>
            <w:r w:rsidR="00B67C03">
              <w:t>euros</w:t>
            </w:r>
            <w:r w:rsidR="00B67C03" w:rsidRPr="00B67C03">
              <w:t xml:space="preserve"> per agency </w:t>
            </w:r>
            <w:r w:rsidR="00B67C03">
              <w:t>(</w:t>
            </w:r>
            <w:hyperlink r:id="rId85" w:history="1">
              <w:r w:rsidR="00B67C03" w:rsidRPr="00B67C03">
                <w:rPr>
                  <w:rStyle w:val="Hyperlink"/>
                </w:rPr>
                <w:t>Latvian Advertising Association n.d.</w:t>
              </w:r>
            </w:hyperlink>
            <w:r w:rsidR="00B67C03">
              <w:t xml:space="preserve">; </w:t>
            </w:r>
            <w:hyperlink r:id="rId86" w:history="1">
              <w:r w:rsidR="00B67C03" w:rsidRPr="00B67C03">
                <w:rPr>
                  <w:rStyle w:val="Hyperlink"/>
                </w:rPr>
                <w:t>EACA n.d.</w:t>
              </w:r>
            </w:hyperlink>
            <w:r w:rsidR="00B67C03">
              <w:t>)</w:t>
            </w:r>
            <w:r w:rsidR="00B67C03" w:rsidRPr="00587B92">
              <w:t>.</w:t>
            </w:r>
          </w:p>
        </w:tc>
      </w:tr>
      <w:tr w:rsidR="00955813" w:rsidRPr="00D5095D" w14:paraId="5AB641D1"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.10</w:t>
            </w:r>
          </w:p>
        </w:tc>
        <w:tc>
          <w:tcPr>
            <w:tcW w:w="2126" w:type="dxa"/>
          </w:tcPr>
          <w:p w14:paraId="41C2D577" w14:textId="16AD1739" w:rsidR="00955813" w:rsidRPr="00D5095D"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Are there multiple SRO codes?</w:t>
            </w:r>
          </w:p>
        </w:tc>
        <w:tc>
          <w:tcPr>
            <w:tcW w:w="2127" w:type="dxa"/>
          </w:tcPr>
          <w:p w14:paraId="6A840CC5" w14:textId="0087B1C9" w:rsidR="00955813" w:rsidRPr="00D5095D" w:rsidRDefault="00011AD0" w:rsidP="00CB46D4">
            <w:pPr>
              <w:pStyle w:val="Classificationcolumntext"/>
              <w:cnfStyle w:val="000000100000" w:firstRow="0" w:lastRow="0" w:firstColumn="0" w:lastColumn="0" w:oddVBand="0" w:evenVBand="0" w:oddHBand="1" w:evenHBand="0" w:firstRowFirstColumn="0" w:firstRowLastColumn="0" w:lastRowFirstColumn="0" w:lastRowLastColumn="0"/>
            </w:pPr>
            <w:r>
              <w:t>No</w:t>
            </w:r>
          </w:p>
        </w:tc>
        <w:tc>
          <w:tcPr>
            <w:tcW w:w="5670" w:type="dxa"/>
          </w:tcPr>
          <w:p w14:paraId="66EAD9E6" w14:textId="0A3ACE87" w:rsidR="00955813" w:rsidRPr="00D5095D" w:rsidRDefault="008763FD" w:rsidP="00CB46D4">
            <w:pPr>
              <w:cnfStyle w:val="000000100000" w:firstRow="0" w:lastRow="0" w:firstColumn="0" w:lastColumn="0" w:oddVBand="0" w:evenVBand="0" w:oddHBand="1" w:evenHBand="0" w:firstRowFirstColumn="0" w:firstRowLastColumn="0" w:lastRowFirstColumn="0" w:lastRowLastColumn="0"/>
            </w:pPr>
            <w:r>
              <w:t xml:space="preserve">No </w:t>
            </w:r>
            <w:r w:rsidRPr="008763FD">
              <w:t>(Rožukalne 2023).</w:t>
            </w:r>
          </w:p>
        </w:tc>
      </w:tr>
      <w:tr w:rsidR="00955813" w:rsidRPr="00D5095D" w14:paraId="5C095444"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.11</w:t>
            </w:r>
          </w:p>
        </w:tc>
        <w:tc>
          <w:tcPr>
            <w:tcW w:w="2126" w:type="dxa"/>
          </w:tcPr>
          <w:p w14:paraId="5037A728" w14:textId="0C865103" w:rsidR="00955813" w:rsidRPr="00D5095D"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Main codes (desc.)</w:t>
            </w:r>
          </w:p>
        </w:tc>
        <w:tc>
          <w:tcPr>
            <w:tcW w:w="2127" w:type="dxa"/>
          </w:tcPr>
          <w:p w14:paraId="02148DCA" w14:textId="77777777" w:rsidR="00955813" w:rsidRPr="008763F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rPr>
                <w:i/>
                <w:iCs/>
              </w:rPr>
            </w:pPr>
          </w:p>
        </w:tc>
        <w:tc>
          <w:tcPr>
            <w:tcW w:w="5670" w:type="dxa"/>
          </w:tcPr>
          <w:p w14:paraId="69903334" w14:textId="7CA780F5" w:rsidR="00955813" w:rsidRPr="008763FD" w:rsidRDefault="008763FD" w:rsidP="00CB46D4">
            <w:pPr>
              <w:cnfStyle w:val="000000000000" w:firstRow="0" w:lastRow="0" w:firstColumn="0" w:lastColumn="0" w:oddVBand="0" w:evenVBand="0" w:oddHBand="0" w:evenHBand="0" w:firstRowFirstColumn="0" w:firstRowLastColumn="0" w:lastRowFirstColumn="0" w:lastRowLastColumn="0"/>
              <w:rPr>
                <w:i/>
                <w:iCs/>
              </w:rPr>
            </w:pPr>
            <w:r w:rsidRPr="008763FD">
              <w:rPr>
                <w:i/>
                <w:iCs/>
              </w:rPr>
              <w:t>N/A</w:t>
            </w:r>
          </w:p>
        </w:tc>
      </w:tr>
      <w:tr w:rsidR="00955813" w:rsidRPr="00D5095D" w14:paraId="6354D9AE"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.12</w:t>
            </w:r>
          </w:p>
        </w:tc>
        <w:tc>
          <w:tcPr>
            <w:tcW w:w="2126" w:type="dxa"/>
          </w:tcPr>
          <w:p w14:paraId="341630D8" w14:textId="78C74C18" w:rsidR="00955813" w:rsidRPr="00D5095D"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Other SROs affecting marketing coms?</w:t>
            </w:r>
          </w:p>
        </w:tc>
        <w:tc>
          <w:tcPr>
            <w:tcW w:w="2127" w:type="dxa"/>
          </w:tcPr>
          <w:p w14:paraId="525CA875" w14:textId="77777777" w:rsidR="00955813" w:rsidRPr="00D5095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47B7701D" w14:textId="6DD066D5" w:rsidR="00955813" w:rsidRPr="00D5095D" w:rsidRDefault="79C889BB" w:rsidP="00CB46D4">
            <w:pPr>
              <w:cnfStyle w:val="000000100000" w:firstRow="0" w:lastRow="0" w:firstColumn="0" w:lastColumn="0" w:oddVBand="0" w:evenVBand="0" w:oddHBand="1" w:evenHBand="0" w:firstRowFirstColumn="0" w:firstRowLastColumn="0" w:lastRowFirstColumn="0" w:lastRowLastColumn="0"/>
            </w:pPr>
            <w:r>
              <w:t>*</w:t>
            </w:r>
          </w:p>
        </w:tc>
      </w:tr>
      <w:tr w:rsidR="00955813" w:rsidRPr="00D5095D" w14:paraId="1819B6BC"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D5095D" w:rsidRDefault="00D064B9" w:rsidP="00CB46D4">
            <w:pPr>
              <w:rPr>
                <w:color w:val="747474" w:themeColor="background2" w:themeShade="80"/>
              </w:rPr>
            </w:pPr>
            <w:r w:rsidRPr="00D5095D">
              <w:rPr>
                <w:color w:val="747474" w:themeColor="background2" w:themeShade="80"/>
              </w:rPr>
              <w:t>5</w:t>
            </w:r>
            <w:r w:rsidR="00955813" w:rsidRPr="00D5095D">
              <w:rPr>
                <w:color w:val="747474" w:themeColor="background2" w:themeShade="80"/>
              </w:rPr>
              <w:t>.13</w:t>
            </w:r>
          </w:p>
        </w:tc>
        <w:tc>
          <w:tcPr>
            <w:tcW w:w="2126" w:type="dxa"/>
          </w:tcPr>
          <w:p w14:paraId="4C532EEE" w14:textId="70EB9785" w:rsidR="00955813" w:rsidRPr="00D5095D"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Are any other SROs (5.7) members of supranat. associations?</w:t>
            </w:r>
          </w:p>
        </w:tc>
        <w:tc>
          <w:tcPr>
            <w:tcW w:w="2127" w:type="dxa"/>
          </w:tcPr>
          <w:p w14:paraId="2E3C4FF5" w14:textId="77777777" w:rsidR="00955813" w:rsidRPr="00D5095D"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D42845" w14:textId="1F99452A" w:rsidR="00955813" w:rsidRPr="00D5095D" w:rsidRDefault="7B3E3B18" w:rsidP="00CB46D4">
            <w:pPr>
              <w:cnfStyle w:val="000000000000" w:firstRow="0" w:lastRow="0" w:firstColumn="0" w:lastColumn="0" w:oddVBand="0" w:evenVBand="0" w:oddHBand="0" w:evenHBand="0" w:firstRowFirstColumn="0" w:firstRowLastColumn="0" w:lastRowFirstColumn="0" w:lastRowLastColumn="0"/>
            </w:pPr>
            <w:r>
              <w:t>*</w:t>
            </w:r>
          </w:p>
        </w:tc>
      </w:tr>
      <w:tr w:rsidR="00955813" w:rsidRPr="00D5095D" w14:paraId="7310EF7F"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D5095D" w:rsidRDefault="00D064B9" w:rsidP="00CB46D4">
            <w:pPr>
              <w:rPr>
                <w:color w:val="747474" w:themeColor="background2" w:themeShade="80"/>
              </w:rPr>
            </w:pPr>
            <w:r w:rsidRPr="00D5095D">
              <w:rPr>
                <w:color w:val="747474" w:themeColor="background2" w:themeShade="80"/>
              </w:rPr>
              <w:lastRenderedPageBreak/>
              <w:t>5</w:t>
            </w:r>
            <w:r w:rsidR="00955813" w:rsidRPr="00D5095D">
              <w:rPr>
                <w:color w:val="747474" w:themeColor="background2" w:themeShade="80"/>
              </w:rPr>
              <w:t>.14</w:t>
            </w:r>
          </w:p>
        </w:tc>
        <w:tc>
          <w:tcPr>
            <w:tcW w:w="2126" w:type="dxa"/>
          </w:tcPr>
          <w:p w14:paraId="3EA80434" w14:textId="1E7250A4" w:rsidR="00955813" w:rsidRPr="00D5095D"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What enforcement powers/ sanctions do these other SROs have and how are these applied?</w:t>
            </w:r>
          </w:p>
        </w:tc>
        <w:tc>
          <w:tcPr>
            <w:tcW w:w="2127" w:type="dxa"/>
          </w:tcPr>
          <w:p w14:paraId="4EB60240" w14:textId="77777777" w:rsidR="00955813" w:rsidRPr="00D5095D"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7813667" w14:textId="63D3A068" w:rsidR="00955813" w:rsidRPr="00D5095D" w:rsidRDefault="79E3BA68" w:rsidP="00CB46D4">
            <w:pPr>
              <w:cnfStyle w:val="000000100000" w:firstRow="0" w:lastRow="0" w:firstColumn="0" w:lastColumn="0" w:oddVBand="0" w:evenVBand="0" w:oddHBand="1" w:evenHBand="0" w:firstRowFirstColumn="0" w:firstRowLastColumn="0" w:lastRowFirstColumn="0" w:lastRowLastColumn="0"/>
            </w:pPr>
            <w:r>
              <w:t>*</w:t>
            </w:r>
          </w:p>
        </w:tc>
      </w:tr>
      <w:tr w:rsidR="00794344" w:rsidRPr="00D5095D" w14:paraId="0B49DB81"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D5095D" w:rsidRDefault="00794344" w:rsidP="00CB46D4">
            <w:pPr>
              <w:rPr>
                <w:color w:val="747474" w:themeColor="background2" w:themeShade="80"/>
              </w:rPr>
            </w:pPr>
            <w:r w:rsidRPr="00D5095D">
              <w:rPr>
                <w:color w:val="747474" w:themeColor="background2" w:themeShade="80"/>
              </w:rPr>
              <w:t>5.15</w:t>
            </w:r>
          </w:p>
        </w:tc>
        <w:tc>
          <w:tcPr>
            <w:tcW w:w="2126" w:type="dxa"/>
          </w:tcPr>
          <w:p w14:paraId="5FEFDA82" w14:textId="77777777" w:rsidR="00C13464" w:rsidRPr="00D5095D"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What Industry Regulatory Organisations IROs have codes (or formal guidance) concerning marketing communications (revelant to branded content)</w:t>
            </w:r>
          </w:p>
          <w:p w14:paraId="3D6F6C6C" w14:textId="0D52AFD1" w:rsidR="00794344" w:rsidRPr="00D5095D"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91506D"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D8F66FE" w14:textId="77777777" w:rsidR="00587B92" w:rsidRPr="0091506D" w:rsidRDefault="00587B92" w:rsidP="00587B9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91506D">
              <w:rPr>
                <w:rStyle w:val="normaltextrun"/>
                <w:rFonts w:ascii="Arial" w:eastAsiaTheme="majorEastAsia" w:hAnsi="Arial" w:cs="Arial"/>
                <w:sz w:val="22"/>
                <w:szCs w:val="22"/>
              </w:rPr>
              <w:t>The Latvian Association of Press Publishers ‘is a non-governmental organization, which promotes the development of printed media and the publishing industry. In its activities, it protects the interests of the members of the organization in relations with the institutions of public power, non-governmental and private institutions’ (</w:t>
            </w:r>
            <w:hyperlink r:id="rId87" w:tgtFrame="_blank" w:history="1">
              <w:r w:rsidRPr="0091506D">
                <w:rPr>
                  <w:rStyle w:val="normaltextrun"/>
                  <w:rFonts w:ascii="Arial" w:eastAsiaTheme="majorEastAsia" w:hAnsi="Arial" w:cs="Arial"/>
                  <w:color w:val="0563C1"/>
                  <w:sz w:val="22"/>
                  <w:szCs w:val="22"/>
                  <w:u w:val="single"/>
                </w:rPr>
                <w:t>The Association of Press Publishers n.d.</w:t>
              </w:r>
            </w:hyperlink>
            <w:r w:rsidRPr="0091506D">
              <w:rPr>
                <w:rStyle w:val="normaltextrun"/>
                <w:rFonts w:ascii="Arial" w:eastAsiaTheme="majorEastAsia" w:hAnsi="Arial" w:cs="Arial"/>
                <w:sz w:val="22"/>
                <w:szCs w:val="22"/>
              </w:rPr>
              <w:t>). </w:t>
            </w:r>
            <w:r w:rsidRPr="0091506D">
              <w:rPr>
                <w:rStyle w:val="eop"/>
                <w:rFonts w:ascii="Arial" w:eastAsiaTheme="majorEastAsia" w:hAnsi="Arial" w:cs="Arial"/>
                <w:sz w:val="22"/>
                <w:szCs w:val="22"/>
              </w:rPr>
              <w:t> </w:t>
            </w:r>
          </w:p>
          <w:p w14:paraId="416EFB69" w14:textId="77777777" w:rsidR="00587B92" w:rsidRPr="0091506D" w:rsidRDefault="00587B92" w:rsidP="00587B9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91506D">
              <w:rPr>
                <w:rStyle w:val="eop"/>
                <w:rFonts w:ascii="Arial" w:eastAsiaTheme="majorEastAsia" w:hAnsi="Arial" w:cs="Arial"/>
                <w:sz w:val="22"/>
                <w:szCs w:val="22"/>
              </w:rPr>
              <w:t> </w:t>
            </w:r>
          </w:p>
          <w:p w14:paraId="0D175DEE" w14:textId="77777777" w:rsidR="00794344" w:rsidRPr="0091506D" w:rsidRDefault="00587B92" w:rsidP="00587B9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eastAsiaTheme="majorEastAsia" w:hAnsi="Calibri" w:cs="Calibri"/>
                <w:sz w:val="22"/>
                <w:szCs w:val="22"/>
              </w:rPr>
            </w:pPr>
            <w:r w:rsidRPr="0091506D">
              <w:rPr>
                <w:rStyle w:val="normaltextrun"/>
                <w:rFonts w:ascii="Arial" w:eastAsiaTheme="majorEastAsia" w:hAnsi="Arial" w:cs="Arial"/>
                <w:sz w:val="22"/>
                <w:szCs w:val="22"/>
              </w:rPr>
              <w:t>The Interactive Advertising Bureau Baltics (IAB Baltics), an industry association, brings together ‘the leading players of digital media and advertising industries in Latvia, Estonia, and Lithuania to represent their interests, conduct cutting-edge marketing and media research, promote employee education, and exchange experience’ (</w:t>
            </w:r>
            <w:hyperlink r:id="rId88" w:tgtFrame="_blank" w:history="1">
              <w:r w:rsidRPr="0091506D">
                <w:rPr>
                  <w:rStyle w:val="normaltextrun"/>
                  <w:rFonts w:ascii="Arial" w:eastAsiaTheme="majorEastAsia" w:hAnsi="Arial" w:cs="Arial"/>
                  <w:color w:val="0563C1"/>
                  <w:sz w:val="22"/>
                  <w:szCs w:val="22"/>
                  <w:u w:val="single"/>
                </w:rPr>
                <w:t>IAB Europe 2022</w:t>
              </w:r>
            </w:hyperlink>
            <w:r w:rsidRPr="0091506D">
              <w:rPr>
                <w:rStyle w:val="normaltextrun"/>
                <w:rFonts w:ascii="Arial" w:eastAsiaTheme="majorEastAsia" w:hAnsi="Arial" w:cs="Arial"/>
                <w:sz w:val="22"/>
                <w:szCs w:val="22"/>
              </w:rPr>
              <w:t>).</w:t>
            </w:r>
            <w:r w:rsidRPr="0091506D">
              <w:rPr>
                <w:rStyle w:val="eop"/>
                <w:rFonts w:ascii="Calibri" w:eastAsiaTheme="majorEastAsia" w:hAnsi="Calibri" w:cs="Calibri"/>
                <w:sz w:val="22"/>
                <w:szCs w:val="22"/>
              </w:rPr>
              <w:t> </w:t>
            </w:r>
          </w:p>
          <w:p w14:paraId="15ED3BB4" w14:textId="77777777" w:rsidR="008763FD" w:rsidRPr="0091506D" w:rsidRDefault="008763FD" w:rsidP="00587B92">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Calibri" w:hAnsi="Calibri" w:cs="Calibri"/>
                <w:sz w:val="22"/>
                <w:szCs w:val="22"/>
              </w:rPr>
            </w:pPr>
          </w:p>
          <w:p w14:paraId="49182C5A" w14:textId="74921F37" w:rsidR="008763FD" w:rsidRPr="0091506D" w:rsidRDefault="008763FD" w:rsidP="0087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91506D">
              <w:rPr>
                <w:rStyle w:val="normaltextrun"/>
                <w:rFonts w:ascii="Arial" w:eastAsiaTheme="majorEastAsia" w:hAnsi="Arial" w:cs="Arial"/>
                <w:sz w:val="22"/>
                <w:szCs w:val="22"/>
              </w:rPr>
              <w:t>Other Industry Bodies/Associations:</w:t>
            </w:r>
            <w:r w:rsidRPr="0091506D">
              <w:rPr>
                <w:rStyle w:val="eop"/>
                <w:rFonts w:ascii="Arial" w:eastAsiaTheme="majorEastAsia" w:hAnsi="Arial" w:cs="Arial"/>
                <w:sz w:val="22"/>
                <w:szCs w:val="22"/>
              </w:rPr>
              <w:t> </w:t>
            </w:r>
          </w:p>
          <w:p w14:paraId="3F6A48DE" w14:textId="77777777" w:rsidR="008763FD" w:rsidRPr="0091506D" w:rsidRDefault="00000000" w:rsidP="0087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89" w:tgtFrame="_blank" w:history="1">
              <w:r w:rsidR="008763FD" w:rsidRPr="0091506D">
                <w:rPr>
                  <w:rStyle w:val="normaltextrun"/>
                  <w:rFonts w:ascii="Arial" w:eastAsiaTheme="majorEastAsia" w:hAnsi="Arial" w:cs="Arial"/>
                  <w:color w:val="0563C1"/>
                  <w:sz w:val="22"/>
                  <w:szCs w:val="22"/>
                  <w:u w:val="single"/>
                </w:rPr>
                <w:t>The Latvian Broadcasting Association</w:t>
              </w:r>
            </w:hyperlink>
            <w:r w:rsidR="008763FD" w:rsidRPr="0091506D">
              <w:rPr>
                <w:rStyle w:val="eop"/>
                <w:rFonts w:ascii="Arial" w:eastAsiaTheme="majorEastAsia" w:hAnsi="Arial" w:cs="Arial"/>
                <w:color w:val="3498DB"/>
                <w:sz w:val="22"/>
                <w:szCs w:val="22"/>
              </w:rPr>
              <w:t> </w:t>
            </w:r>
          </w:p>
          <w:p w14:paraId="6B7A541F" w14:textId="77777777" w:rsidR="008763FD" w:rsidRPr="0091506D" w:rsidRDefault="00000000" w:rsidP="0087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90" w:tgtFrame="_blank" w:history="1">
              <w:r w:rsidR="008763FD" w:rsidRPr="0091506D">
                <w:rPr>
                  <w:rStyle w:val="normaltextrun"/>
                  <w:rFonts w:ascii="Arial" w:eastAsiaTheme="majorEastAsia" w:hAnsi="Arial" w:cs="Arial"/>
                  <w:color w:val="0563C1"/>
                  <w:sz w:val="22"/>
                  <w:szCs w:val="22"/>
                  <w:u w:val="single"/>
                </w:rPr>
                <w:t>The Latvian Press Publishers Association</w:t>
              </w:r>
            </w:hyperlink>
            <w:r w:rsidR="008763FD" w:rsidRPr="0091506D">
              <w:rPr>
                <w:rStyle w:val="eop"/>
                <w:rFonts w:ascii="Arial" w:eastAsiaTheme="majorEastAsia" w:hAnsi="Arial" w:cs="Arial"/>
                <w:color w:val="A0A0A0"/>
                <w:sz w:val="22"/>
                <w:szCs w:val="22"/>
              </w:rPr>
              <w:t> </w:t>
            </w:r>
          </w:p>
          <w:p w14:paraId="4EFA238B" w14:textId="77777777" w:rsidR="008763FD" w:rsidRPr="0091506D" w:rsidRDefault="00000000" w:rsidP="0087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91" w:tgtFrame="_blank" w:history="1">
              <w:r w:rsidR="008763FD" w:rsidRPr="0091506D">
                <w:rPr>
                  <w:rStyle w:val="normaltextrun"/>
                  <w:rFonts w:ascii="Arial" w:eastAsiaTheme="majorEastAsia" w:hAnsi="Arial" w:cs="Arial"/>
                  <w:color w:val="0563C1"/>
                  <w:sz w:val="22"/>
                  <w:szCs w:val="22"/>
                  <w:u w:val="single"/>
                </w:rPr>
                <w:t>The Latvian Journalist Association</w:t>
              </w:r>
            </w:hyperlink>
            <w:r w:rsidR="008763FD" w:rsidRPr="0091506D">
              <w:rPr>
                <w:rStyle w:val="eop"/>
                <w:rFonts w:ascii="Arial" w:eastAsiaTheme="majorEastAsia" w:hAnsi="Arial" w:cs="Arial"/>
                <w:color w:val="3498DB"/>
                <w:sz w:val="22"/>
                <w:szCs w:val="22"/>
              </w:rPr>
              <w:t> </w:t>
            </w:r>
          </w:p>
          <w:p w14:paraId="53E82114" w14:textId="6D32761E" w:rsidR="008763FD" w:rsidRPr="0091506D" w:rsidRDefault="00000000" w:rsidP="008763FD">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22"/>
                <w:szCs w:val="22"/>
              </w:rPr>
            </w:pPr>
            <w:hyperlink r:id="rId92" w:tgtFrame="_blank" w:history="1">
              <w:r w:rsidR="008763FD" w:rsidRPr="0091506D">
                <w:rPr>
                  <w:rStyle w:val="normaltextrun"/>
                  <w:rFonts w:ascii="Arial" w:eastAsiaTheme="majorEastAsia" w:hAnsi="Arial" w:cs="Arial"/>
                  <w:color w:val="0563C1"/>
                  <w:sz w:val="22"/>
                  <w:szCs w:val="22"/>
                  <w:u w:val="single"/>
                </w:rPr>
                <w:t>The Latvian Advertising Association</w:t>
              </w:r>
            </w:hyperlink>
            <w:r w:rsidR="008763FD" w:rsidRPr="0091506D">
              <w:rPr>
                <w:rStyle w:val="eop"/>
                <w:rFonts w:ascii="Arial" w:eastAsiaTheme="majorEastAsia" w:hAnsi="Arial" w:cs="Arial"/>
                <w:color w:val="3498DB"/>
                <w:sz w:val="22"/>
                <w:szCs w:val="22"/>
              </w:rPr>
              <w:t> </w:t>
            </w:r>
          </w:p>
        </w:tc>
      </w:tr>
      <w:tr w:rsidR="00DC4123" w:rsidRPr="00D5095D" w14:paraId="37B4A831"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D5095D" w:rsidRDefault="00DC4123" w:rsidP="00CB46D4">
            <w:pPr>
              <w:rPr>
                <w:color w:val="747474" w:themeColor="background2" w:themeShade="80"/>
              </w:rPr>
            </w:pPr>
            <w:r w:rsidRPr="00D5095D">
              <w:rPr>
                <w:color w:val="747474" w:themeColor="background2" w:themeShade="80"/>
              </w:rPr>
              <w:t>5.15a</w:t>
            </w:r>
          </w:p>
        </w:tc>
        <w:tc>
          <w:tcPr>
            <w:tcW w:w="2126" w:type="dxa"/>
          </w:tcPr>
          <w:p w14:paraId="52FF63FA" w14:textId="282F88EC" w:rsidR="00DC4123" w:rsidRPr="00D5095D"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Indicators of effectiveness (primary SRO)</w:t>
            </w:r>
          </w:p>
        </w:tc>
        <w:tc>
          <w:tcPr>
            <w:tcW w:w="2127" w:type="dxa"/>
          </w:tcPr>
          <w:p w14:paraId="2AAB45DD" w14:textId="77777777" w:rsidR="00DC4123" w:rsidRPr="00D5095D"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268C92B1" w:rsidR="00DC4123" w:rsidRPr="00D5095D" w:rsidRDefault="1CE517BC" w:rsidP="00CB46D4">
            <w:pPr>
              <w:cnfStyle w:val="000000100000" w:firstRow="0" w:lastRow="0" w:firstColumn="0" w:lastColumn="0" w:oddVBand="0" w:evenVBand="0" w:oddHBand="1" w:evenHBand="0" w:firstRowFirstColumn="0" w:firstRowLastColumn="0" w:lastRowFirstColumn="0" w:lastRowLastColumn="0"/>
            </w:pPr>
            <w:r>
              <w:t>*</w:t>
            </w:r>
          </w:p>
        </w:tc>
      </w:tr>
      <w:tr w:rsidR="00794344" w:rsidRPr="00D5095D" w14:paraId="555B2541"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D5095D" w:rsidRDefault="00695DEB" w:rsidP="00CB46D4">
            <w:pPr>
              <w:rPr>
                <w:color w:val="747474" w:themeColor="background2" w:themeShade="80"/>
              </w:rPr>
            </w:pPr>
            <w:r w:rsidRPr="00D5095D">
              <w:rPr>
                <w:color w:val="747474" w:themeColor="background2" w:themeShade="80"/>
              </w:rPr>
              <w:t>5.16</w:t>
            </w:r>
          </w:p>
        </w:tc>
        <w:tc>
          <w:tcPr>
            <w:tcW w:w="2126" w:type="dxa"/>
          </w:tcPr>
          <w:p w14:paraId="31ADDFD9" w14:textId="4430AD66" w:rsidR="00794344" w:rsidRPr="00D5095D"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Does the SRO system have an enforcement or dispute resolution mechanism?</w:t>
            </w:r>
          </w:p>
        </w:tc>
        <w:tc>
          <w:tcPr>
            <w:tcW w:w="2127" w:type="dxa"/>
          </w:tcPr>
          <w:p w14:paraId="76715528" w14:textId="77777777" w:rsidR="00794344" w:rsidRPr="00D5095D"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AFD970A" w14:textId="77777777" w:rsidR="008763FD" w:rsidRPr="008763FD" w:rsidRDefault="008763FD" w:rsidP="008763FD">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8763FD">
              <w:rPr>
                <w:rFonts w:eastAsia="Times New Roman"/>
                <w:lang w:eastAsia="en-GB"/>
              </w:rPr>
              <w:t>The Latvian Advertising Association (LRA) carries out the interpretation of the Code and makes a decision in accordance with the statutes (</w:t>
            </w:r>
            <w:hyperlink r:id="rId93" w:tgtFrame="_blank" w:history="1">
              <w:r w:rsidRPr="008763FD">
                <w:rPr>
                  <w:rFonts w:eastAsia="Times New Roman"/>
                  <w:color w:val="0563C1"/>
                  <w:u w:val="single"/>
                  <w:lang w:eastAsia="en-GB"/>
                </w:rPr>
                <w:t>Latvian Advertising Association 2014:</w:t>
              </w:r>
            </w:hyperlink>
            <w:r w:rsidRPr="008763FD">
              <w:rPr>
                <w:rFonts w:eastAsia="Times New Roman"/>
                <w:lang w:eastAsia="en-GB"/>
              </w:rPr>
              <w:t xml:space="preserve"> 1). The Code is binding to the members of the LRA and those who approached the LRA to join the Code (</w:t>
            </w:r>
            <w:hyperlink r:id="rId94" w:tgtFrame="_blank" w:history="1">
              <w:r w:rsidRPr="008763FD">
                <w:rPr>
                  <w:rFonts w:eastAsia="Times New Roman"/>
                  <w:color w:val="0563C1"/>
                  <w:u w:val="single"/>
                  <w:lang w:eastAsia="en-GB"/>
                </w:rPr>
                <w:t>Latvian Advertising Association 2014:</w:t>
              </w:r>
            </w:hyperlink>
            <w:r w:rsidRPr="008763FD">
              <w:rPr>
                <w:rFonts w:eastAsia="Times New Roman"/>
                <w:lang w:eastAsia="en-GB"/>
              </w:rPr>
              <w:t xml:space="preserve"> 2). When the qualifying advertisers are found to have broken the rules, ‘the LRA Ethics Council can make the following decisions: </w:t>
            </w:r>
          </w:p>
          <w:p w14:paraId="4D984CE6" w14:textId="77777777" w:rsidR="008763FD" w:rsidRPr="008763FD" w:rsidRDefault="008763FD" w:rsidP="008763FD">
            <w:pPr>
              <w:pStyle w:val="ListParagraph"/>
              <w:numPr>
                <w:ilvl w:val="0"/>
                <w:numId w:val="28"/>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warn the violator about the violation;  </w:t>
            </w:r>
          </w:p>
          <w:p w14:paraId="66CAED77" w14:textId="77777777" w:rsidR="008763FD" w:rsidRPr="008763FD" w:rsidRDefault="008763FD" w:rsidP="008763FD">
            <w:pPr>
              <w:pStyle w:val="ListParagraph"/>
              <w:numPr>
                <w:ilvl w:val="0"/>
                <w:numId w:val="28"/>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advise the media not to publish/broadcast the relevant advertisement until the violation of the Code has been eliminated’ (</w:t>
            </w:r>
            <w:hyperlink r:id="rId95" w:tgtFrame="_blank" w:history="1">
              <w:r w:rsidRPr="008763FD">
                <w:rPr>
                  <w:rFonts w:eastAsia="Times New Roman"/>
                  <w:color w:val="0563C1"/>
                  <w:u w:val="single"/>
                  <w:lang w:eastAsia="en-GB"/>
                </w:rPr>
                <w:t>Latvian Advertising Association 2014:</w:t>
              </w:r>
            </w:hyperlink>
            <w:r w:rsidRPr="008763FD">
              <w:rPr>
                <w:rFonts w:eastAsia="Times New Roman"/>
                <w:lang w:eastAsia="en-GB"/>
              </w:rPr>
              <w:t xml:space="preserve"> 11).  </w:t>
            </w:r>
          </w:p>
          <w:p w14:paraId="74DCCAC0" w14:textId="68A5FFED" w:rsidR="00794344" w:rsidRPr="008763FD" w:rsidRDefault="008763FD" w:rsidP="008763FD">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8763FD">
              <w:rPr>
                <w:rFonts w:eastAsia="Times New Roman"/>
                <w:lang w:eastAsia="en-GB"/>
              </w:rPr>
              <w:t xml:space="preserve">The LRA issues a warning within a week from the decision, sending its text to the offending party. It also sends a recommendation to the media which distributed </w:t>
            </w:r>
            <w:r w:rsidRPr="008763FD">
              <w:rPr>
                <w:rFonts w:eastAsia="Times New Roman"/>
                <w:lang w:eastAsia="en-GB"/>
              </w:rPr>
              <w:lastRenderedPageBreak/>
              <w:t>or were meant to distribute the advertisement (</w:t>
            </w:r>
            <w:hyperlink r:id="rId96" w:tgtFrame="_blank" w:history="1">
              <w:r w:rsidRPr="008763FD">
                <w:rPr>
                  <w:rFonts w:eastAsia="Times New Roman"/>
                  <w:color w:val="0563C1"/>
                  <w:u w:val="single"/>
                  <w:lang w:eastAsia="en-GB"/>
                </w:rPr>
                <w:t>Latvian Advertising Association 2014:</w:t>
              </w:r>
            </w:hyperlink>
            <w:r w:rsidRPr="008763FD">
              <w:rPr>
                <w:rFonts w:eastAsia="Times New Roman"/>
                <w:lang w:eastAsia="en-GB"/>
              </w:rPr>
              <w:t xml:space="preserve"> 11-12). The decisions are published in the LRA website. Any violations of the code as per the LRA Ethics Council’s decisions are ‘considered a violation of the professional activity of an advertising professional’ (</w:t>
            </w:r>
            <w:hyperlink r:id="rId97" w:tgtFrame="_blank" w:history="1">
              <w:r w:rsidRPr="008763FD">
                <w:rPr>
                  <w:rFonts w:eastAsia="Times New Roman"/>
                  <w:color w:val="0563C1"/>
                  <w:u w:val="single"/>
                  <w:lang w:eastAsia="en-GB"/>
                </w:rPr>
                <w:t>Latvian Advertising Association 2014:</w:t>
              </w:r>
            </w:hyperlink>
            <w:r w:rsidRPr="008763FD">
              <w:rPr>
                <w:rFonts w:eastAsia="Times New Roman"/>
                <w:lang w:eastAsia="en-GB"/>
              </w:rPr>
              <w:t xml:space="preserve"> 12).</w:t>
            </w:r>
          </w:p>
        </w:tc>
      </w:tr>
      <w:tr w:rsidR="00794344" w:rsidRPr="00D5095D" w14:paraId="28A6CB53"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D5095D" w:rsidRDefault="00695DEB" w:rsidP="00CB46D4">
            <w:pPr>
              <w:rPr>
                <w:color w:val="747474" w:themeColor="background2" w:themeShade="80"/>
              </w:rPr>
            </w:pPr>
            <w:r w:rsidRPr="00D5095D">
              <w:rPr>
                <w:color w:val="747474" w:themeColor="background2" w:themeShade="80"/>
              </w:rPr>
              <w:lastRenderedPageBreak/>
              <w:t>5.17</w:t>
            </w:r>
          </w:p>
        </w:tc>
        <w:tc>
          <w:tcPr>
            <w:tcW w:w="2126" w:type="dxa"/>
          </w:tcPr>
          <w:p w14:paraId="026C376C" w14:textId="3B2858CF" w:rsidR="00794344" w:rsidRPr="00D5095D"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Are</w:t>
            </w:r>
            <w:r w:rsidR="00854088" w:rsidRPr="00D5095D">
              <w:t xml:space="preserve"> </w:t>
            </w:r>
            <w:r w:rsidRPr="00D5095D">
              <w:t>juries</w:t>
            </w:r>
            <w:r w:rsidR="00854088" w:rsidRPr="00D5095D">
              <w:br/>
            </w:r>
            <w:r w:rsidRPr="00D5095D">
              <w:t>/adjudicators independent from the advertising sector?</w:t>
            </w:r>
          </w:p>
        </w:tc>
        <w:tc>
          <w:tcPr>
            <w:tcW w:w="2127" w:type="dxa"/>
          </w:tcPr>
          <w:p w14:paraId="0C96D46C" w14:textId="77777777" w:rsidR="00794344" w:rsidRPr="00D5095D"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3DF7CEB1" w:rsidR="00794344" w:rsidRPr="008763FD" w:rsidRDefault="008763FD" w:rsidP="00CB46D4">
            <w:pPr>
              <w:cnfStyle w:val="000000100000" w:firstRow="0" w:lastRow="0" w:firstColumn="0" w:lastColumn="0" w:oddVBand="0" w:evenVBand="0" w:oddHBand="1" w:evenHBand="0" w:firstRowFirstColumn="0" w:firstRowLastColumn="0" w:lastRowFirstColumn="0" w:lastRowLastColumn="0"/>
            </w:pPr>
            <w:r w:rsidRPr="008763FD">
              <w:rPr>
                <w:rStyle w:val="normaltextrun"/>
                <w:color w:val="000000"/>
                <w:shd w:val="clear" w:color="auto" w:fill="FFFFFF"/>
              </w:rPr>
              <w:t>The LRA does not provide details, but simply states that ‘the Council of Ethics consists of seven members appointed for an indefinite period by the LRA Council’ (</w:t>
            </w:r>
            <w:hyperlink r:id="rId98" w:tgtFrame="_blank" w:history="1">
              <w:r w:rsidRPr="008763FD">
                <w:rPr>
                  <w:rStyle w:val="normaltextrun"/>
                  <w:color w:val="0563C1"/>
                  <w:u w:val="single"/>
                  <w:shd w:val="clear" w:color="auto" w:fill="FFFFFF"/>
                </w:rPr>
                <w:t>Latvian Advertising Association 2014:</w:t>
              </w:r>
            </w:hyperlink>
            <w:r w:rsidRPr="008763FD">
              <w:rPr>
                <w:rStyle w:val="normaltextrun"/>
                <w:color w:val="000000"/>
                <w:shd w:val="clear" w:color="auto" w:fill="FFFFFF"/>
              </w:rPr>
              <w:t xml:space="preserve"> 10).</w:t>
            </w:r>
            <w:r w:rsidRPr="008763FD">
              <w:rPr>
                <w:rStyle w:val="eop"/>
                <w:color w:val="000000"/>
                <w:shd w:val="clear" w:color="auto" w:fill="FFFFFF"/>
              </w:rPr>
              <w:t> </w:t>
            </w:r>
          </w:p>
        </w:tc>
      </w:tr>
      <w:tr w:rsidR="00794344" w:rsidRPr="00D5095D" w14:paraId="73573724"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D5095D" w:rsidRDefault="00695DEB" w:rsidP="00CB46D4">
            <w:pPr>
              <w:rPr>
                <w:color w:val="747474" w:themeColor="background2" w:themeShade="80"/>
              </w:rPr>
            </w:pPr>
            <w:r w:rsidRPr="00D5095D">
              <w:rPr>
                <w:color w:val="747474" w:themeColor="background2" w:themeShade="80"/>
              </w:rPr>
              <w:t>5.18</w:t>
            </w:r>
          </w:p>
        </w:tc>
        <w:tc>
          <w:tcPr>
            <w:tcW w:w="2126" w:type="dxa"/>
          </w:tcPr>
          <w:p w14:paraId="18878E94" w14:textId="54132730" w:rsidR="00794344" w:rsidRPr="00D5095D"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How does enforcement/dispute resolution work?</w:t>
            </w:r>
          </w:p>
        </w:tc>
        <w:tc>
          <w:tcPr>
            <w:tcW w:w="2127" w:type="dxa"/>
          </w:tcPr>
          <w:p w14:paraId="23758B66" w14:textId="77777777" w:rsidR="00794344" w:rsidRPr="00D5095D"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9F33E3B" w14:textId="77777777" w:rsidR="008763FD" w:rsidRPr="008763FD" w:rsidRDefault="008763FD" w:rsidP="008763FD">
            <w:p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The LRA explains its process in its Code (section 9 and its subsections), stating: </w:t>
            </w:r>
          </w:p>
          <w:p w14:paraId="53A70FB6" w14:textId="77777777" w:rsidR="008763FD" w:rsidRPr="008763FD" w:rsidRDefault="008763FD" w:rsidP="008763FD">
            <w:pPr>
              <w:pStyle w:val="ListParagraph"/>
              <w:numPr>
                <w:ilvl w:val="0"/>
                <w:numId w:val="3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‘the LRA Ethics Council has decision-making power if more than half of the members of the LRA Ethics Council participate in the adoption of the decision.  </w:t>
            </w:r>
          </w:p>
          <w:p w14:paraId="4B128E63" w14:textId="77777777" w:rsidR="008763FD" w:rsidRPr="008763FD" w:rsidRDefault="008763FD" w:rsidP="008763FD">
            <w:pPr>
              <w:pStyle w:val="ListParagraph"/>
              <w:numPr>
                <w:ilvl w:val="0"/>
                <w:numId w:val="3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any decision of the LRA Ethics Council is adopted if at least four members of the LRA Ethics Council vote for its adoption.  </w:t>
            </w:r>
          </w:p>
          <w:p w14:paraId="21ED3A91" w14:textId="77777777" w:rsidR="008763FD" w:rsidRPr="008763FD" w:rsidRDefault="008763FD" w:rsidP="008763FD">
            <w:pPr>
              <w:pStyle w:val="ListParagraph"/>
              <w:numPr>
                <w:ilvl w:val="0"/>
                <w:numId w:val="3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any advertising professional can initiate consideration of a violation of this Code by submitting a written application to the LRA Board, in which the applicant's personal identifying data is indicated, the advertisement for which the application is submitted, the place and time of publication or broadcast of the advertisement, the person of the alleged violator, the Code norms violated and the manner in which the violation manifests itself. </w:t>
            </w:r>
          </w:p>
          <w:p w14:paraId="24EC94E9" w14:textId="77777777" w:rsidR="008763FD" w:rsidRPr="008763FD" w:rsidRDefault="008763FD" w:rsidP="008763FD">
            <w:pPr>
              <w:pStyle w:val="ListParagraph"/>
              <w:numPr>
                <w:ilvl w:val="0"/>
                <w:numId w:val="31"/>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the LRA board sends a copy of the application to the person mentioned in the application as a possible infringer, as well as to the other advertising professionals mentioned in connection with the possible infringement, within three working days after receiving the application, asking them to provide explanations about the application.  </w:t>
            </w:r>
          </w:p>
          <w:p w14:paraId="23196605" w14:textId="77777777" w:rsidR="008763FD" w:rsidRPr="008763FD" w:rsidRDefault="008763FD" w:rsidP="008763FD">
            <w:pPr>
              <w:pStyle w:val="ListParagraph"/>
              <w:numPr>
                <w:ilvl w:val="0"/>
                <w:numId w:val="3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 xml:space="preserve">explanations about the application must be submitted to the LRA board within ten days after sending the request. Failure to provide explanations is not an obstacle to considering the application. If additional information is required for making a decision, the LRA board or the LRA Ethics Council may, at their discretion, invite parties, as well as third parties, to provide oral explanations or opinions at the meeting of the </w:t>
            </w:r>
            <w:r w:rsidRPr="008763FD">
              <w:rPr>
                <w:rFonts w:eastAsia="Times New Roman"/>
                <w:lang w:eastAsia="en-GB"/>
              </w:rPr>
              <w:lastRenderedPageBreak/>
              <w:t>LRA Ethics Council, where the relevant application is considered. </w:t>
            </w:r>
          </w:p>
          <w:p w14:paraId="206B8A36" w14:textId="77777777" w:rsidR="008763FD" w:rsidRPr="008763FD" w:rsidRDefault="008763FD" w:rsidP="008763FD">
            <w:pPr>
              <w:pStyle w:val="ListParagraph"/>
              <w:numPr>
                <w:ilvl w:val="0"/>
                <w:numId w:val="3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the LRA board registers and compiles applications for violations of this Code and received explanations, as well as prepares information necessary for decision-making.  </w:t>
            </w:r>
          </w:p>
          <w:p w14:paraId="58A1FC87" w14:textId="77777777" w:rsidR="008763FD" w:rsidRPr="008763FD" w:rsidRDefault="008763FD" w:rsidP="008763FD">
            <w:pPr>
              <w:pStyle w:val="ListParagraph"/>
              <w:numPr>
                <w:ilvl w:val="0"/>
                <w:numId w:val="3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the LRA board forwards the complaint to the LRA Ethics Council for consideration as soon as the information necessary for decision-making has been collected and prepared.  </w:t>
            </w:r>
          </w:p>
          <w:p w14:paraId="6F719467" w14:textId="4EDBE354" w:rsidR="00794344" w:rsidRPr="008763FD" w:rsidRDefault="008763FD" w:rsidP="008763FD">
            <w:pPr>
              <w:pStyle w:val="ListParagraph"/>
              <w:numPr>
                <w:ilvl w:val="0"/>
                <w:numId w:val="30"/>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8763FD">
              <w:rPr>
                <w:rFonts w:eastAsia="Times New Roman"/>
                <w:lang w:eastAsia="en-GB"/>
              </w:rPr>
              <w:t>the Ethics Council of LRA examines the case of a violation of this Code in accordance with the rules of its meetings. When determining the existence of a violation, the investigated advertisement, this Code, as well as the submitted and generally known information about the circumstances in which the advertisement was distributed, are taken into account [Google Translate]’ (</w:t>
            </w:r>
            <w:hyperlink r:id="rId99" w:tgtFrame="_blank" w:history="1">
              <w:r w:rsidRPr="008763FD">
                <w:rPr>
                  <w:rFonts w:eastAsia="Times New Roman"/>
                  <w:color w:val="0563C1"/>
                  <w:u w:val="single"/>
                  <w:lang w:eastAsia="en-GB"/>
                </w:rPr>
                <w:t>Latvian Advertising Association 2014:</w:t>
              </w:r>
            </w:hyperlink>
            <w:r w:rsidRPr="008763FD">
              <w:rPr>
                <w:rFonts w:eastAsia="Times New Roman"/>
                <w:lang w:eastAsia="en-GB"/>
              </w:rPr>
              <w:t xml:space="preserve"> 11). </w:t>
            </w:r>
          </w:p>
        </w:tc>
      </w:tr>
      <w:tr w:rsidR="00794344" w:rsidRPr="008763FD" w14:paraId="7A8205D2"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D5095D" w:rsidRDefault="00695DEB" w:rsidP="00CB46D4">
            <w:pPr>
              <w:rPr>
                <w:color w:val="747474" w:themeColor="background2" w:themeShade="80"/>
              </w:rPr>
            </w:pPr>
            <w:r w:rsidRPr="00D5095D">
              <w:rPr>
                <w:color w:val="747474" w:themeColor="background2" w:themeShade="80"/>
              </w:rPr>
              <w:lastRenderedPageBreak/>
              <w:t>5.19</w:t>
            </w:r>
          </w:p>
        </w:tc>
        <w:tc>
          <w:tcPr>
            <w:tcW w:w="2126" w:type="dxa"/>
          </w:tcPr>
          <w:p w14:paraId="59B22408" w14:textId="360C1CF0" w:rsidR="00794344" w:rsidRPr="00D5095D" w:rsidRDefault="006D6FCB"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Are the SRO decisions reported?</w:t>
            </w:r>
          </w:p>
        </w:tc>
        <w:tc>
          <w:tcPr>
            <w:tcW w:w="2127" w:type="dxa"/>
          </w:tcPr>
          <w:p w14:paraId="221D24DE" w14:textId="77777777" w:rsidR="00794344" w:rsidRPr="00D5095D"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3C1F10E1" w:rsidR="00794344" w:rsidRPr="008763FD" w:rsidRDefault="008763FD" w:rsidP="00CB46D4">
            <w:pPr>
              <w:cnfStyle w:val="000000100000" w:firstRow="0" w:lastRow="0" w:firstColumn="0" w:lastColumn="0" w:oddVBand="0" w:evenVBand="0" w:oddHBand="1" w:evenHBand="0" w:firstRowFirstColumn="0" w:firstRowLastColumn="0" w:lastRowFirstColumn="0" w:lastRowLastColumn="0"/>
            </w:pPr>
            <w:r w:rsidRPr="008763FD">
              <w:rPr>
                <w:rStyle w:val="normaltextrun"/>
                <w:color w:val="000000"/>
                <w:shd w:val="clear" w:color="auto" w:fill="FFFFFF"/>
              </w:rPr>
              <w:t>Yes, LRA Ethics Council</w:t>
            </w:r>
            <w:r>
              <w:rPr>
                <w:rStyle w:val="normaltextrun"/>
                <w:color w:val="000000"/>
                <w:shd w:val="clear" w:color="auto" w:fill="FFFFFF"/>
              </w:rPr>
              <w:t xml:space="preserve">’s </w:t>
            </w:r>
            <w:r w:rsidRPr="008763FD">
              <w:rPr>
                <w:rStyle w:val="normaltextrun"/>
                <w:color w:val="000000"/>
                <w:shd w:val="clear" w:color="auto" w:fill="FFFFFF"/>
              </w:rPr>
              <w:t>decisions are published on the LRA website within one week after their adoption</w:t>
            </w:r>
            <w:r>
              <w:rPr>
                <w:rStyle w:val="normaltextrun"/>
                <w:color w:val="000000"/>
                <w:shd w:val="clear" w:color="auto" w:fill="FFFFFF"/>
              </w:rPr>
              <w:t xml:space="preserve"> </w:t>
            </w:r>
            <w:r w:rsidRPr="008763FD">
              <w:rPr>
                <w:rStyle w:val="normaltextrun"/>
                <w:color w:val="000000"/>
                <w:shd w:val="clear" w:color="auto" w:fill="FFFFFF"/>
              </w:rPr>
              <w:t>(</w:t>
            </w:r>
            <w:hyperlink r:id="rId100" w:tgtFrame="_blank" w:history="1">
              <w:r w:rsidRPr="008763FD">
                <w:rPr>
                  <w:rStyle w:val="normaltextrun"/>
                  <w:color w:val="0563C1"/>
                  <w:u w:val="single"/>
                  <w:shd w:val="clear" w:color="auto" w:fill="FFFFFF"/>
                </w:rPr>
                <w:t>Latvian Advertising Association 2014:</w:t>
              </w:r>
            </w:hyperlink>
            <w:r w:rsidRPr="008763FD">
              <w:rPr>
                <w:rStyle w:val="normaltextrun"/>
                <w:color w:val="000000"/>
                <w:shd w:val="clear" w:color="auto" w:fill="FFFFFF"/>
              </w:rPr>
              <w:t xml:space="preserve"> 12).</w:t>
            </w:r>
            <w:r w:rsidRPr="008763FD">
              <w:rPr>
                <w:rStyle w:val="eop"/>
                <w:color w:val="000000"/>
                <w:shd w:val="clear" w:color="auto" w:fill="FFFFFF"/>
              </w:rPr>
              <w:t> </w:t>
            </w:r>
          </w:p>
        </w:tc>
      </w:tr>
      <w:tr w:rsidR="00695DEB" w:rsidRPr="00D5095D" w14:paraId="13B33A5E"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D5095D" w:rsidRDefault="00695DEB" w:rsidP="00CB46D4">
            <w:pPr>
              <w:rPr>
                <w:color w:val="747474" w:themeColor="background2" w:themeShade="80"/>
              </w:rPr>
            </w:pPr>
            <w:r w:rsidRPr="00D5095D">
              <w:rPr>
                <w:color w:val="747474" w:themeColor="background2" w:themeShade="80"/>
              </w:rPr>
              <w:t>5.20</w:t>
            </w:r>
          </w:p>
        </w:tc>
        <w:tc>
          <w:tcPr>
            <w:tcW w:w="2126" w:type="dxa"/>
          </w:tcPr>
          <w:p w14:paraId="100C2B2D" w14:textId="23D3F799" w:rsidR="00695DEB" w:rsidRPr="00D5095D" w:rsidRDefault="0018415B"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Is the self-regulation system widely used and followed?</w:t>
            </w:r>
          </w:p>
        </w:tc>
        <w:tc>
          <w:tcPr>
            <w:tcW w:w="2127" w:type="dxa"/>
          </w:tcPr>
          <w:p w14:paraId="3DE120B5" w14:textId="77777777" w:rsidR="00695DEB" w:rsidRPr="00D5095D"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76518D3F" w:rsidR="00695DEB" w:rsidRPr="00D5095D" w:rsidRDefault="008763FD" w:rsidP="00CB46D4">
            <w:pPr>
              <w:cnfStyle w:val="000000000000" w:firstRow="0" w:lastRow="0" w:firstColumn="0" w:lastColumn="0" w:oddVBand="0" w:evenVBand="0" w:oddHBand="0" w:evenHBand="0" w:firstRowFirstColumn="0" w:firstRowLastColumn="0" w:lastRowFirstColumn="0" w:lastRowLastColumn="0"/>
            </w:pPr>
            <w:r>
              <w:t>*</w:t>
            </w:r>
          </w:p>
        </w:tc>
      </w:tr>
      <w:tr w:rsidR="00695DEB" w:rsidRPr="00D5095D" w14:paraId="37CE476E"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D5095D" w:rsidRDefault="00695DEB" w:rsidP="00CB46D4">
            <w:pPr>
              <w:rPr>
                <w:color w:val="747474" w:themeColor="background2" w:themeShade="80"/>
              </w:rPr>
            </w:pPr>
            <w:r w:rsidRPr="00D5095D">
              <w:rPr>
                <w:color w:val="747474" w:themeColor="background2" w:themeShade="80"/>
              </w:rPr>
              <w:t>5.21</w:t>
            </w:r>
          </w:p>
        </w:tc>
        <w:tc>
          <w:tcPr>
            <w:tcW w:w="2126" w:type="dxa"/>
          </w:tcPr>
          <w:p w14:paraId="0A744E4E" w14:textId="77777777" w:rsidR="00CC2745" w:rsidRPr="00D5095D"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What is the evidence of (non)/compliance with adjudications/ decisions?</w:t>
            </w:r>
          </w:p>
          <w:p w14:paraId="6E68B5A2" w14:textId="2AECAFC6" w:rsidR="00695DEB" w:rsidRPr="00D5095D" w:rsidRDefault="00CC2745"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What is the (quality of) evidence of contestation of self-regulatory system’s decisions?</w:t>
            </w:r>
          </w:p>
        </w:tc>
        <w:tc>
          <w:tcPr>
            <w:tcW w:w="2127" w:type="dxa"/>
          </w:tcPr>
          <w:p w14:paraId="420CE776" w14:textId="77777777" w:rsidR="00695DEB" w:rsidRPr="00D5095D"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77777777" w:rsidR="00695DEB" w:rsidRPr="00D5095D" w:rsidRDefault="00695DEB" w:rsidP="00CB46D4">
            <w:pPr>
              <w:cnfStyle w:val="000000100000" w:firstRow="0" w:lastRow="0" w:firstColumn="0" w:lastColumn="0" w:oddVBand="0" w:evenVBand="0" w:oddHBand="1" w:evenHBand="0" w:firstRowFirstColumn="0" w:firstRowLastColumn="0" w:lastRowFirstColumn="0" w:lastRowLastColumn="0"/>
            </w:pPr>
          </w:p>
        </w:tc>
      </w:tr>
      <w:tr w:rsidR="00695DEB" w:rsidRPr="00D5095D" w14:paraId="7E646927" w14:textId="77777777" w:rsidTr="1342D17E">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D5095D" w:rsidRDefault="00695DEB" w:rsidP="00CB46D4">
            <w:pPr>
              <w:rPr>
                <w:color w:val="747474" w:themeColor="background2" w:themeShade="80"/>
              </w:rPr>
            </w:pPr>
            <w:r w:rsidRPr="00D5095D">
              <w:rPr>
                <w:color w:val="747474" w:themeColor="background2" w:themeShade="80"/>
              </w:rPr>
              <w:t>5.22</w:t>
            </w:r>
          </w:p>
        </w:tc>
        <w:tc>
          <w:tcPr>
            <w:tcW w:w="2126" w:type="dxa"/>
          </w:tcPr>
          <w:p w14:paraId="78ABDDFB" w14:textId="7DEBE176" w:rsidR="00695DEB" w:rsidRPr="00D5095D" w:rsidRDefault="00EA1243"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SRO Environment (2020-2025)</w:t>
            </w:r>
          </w:p>
        </w:tc>
        <w:tc>
          <w:tcPr>
            <w:tcW w:w="2127" w:type="dxa"/>
          </w:tcPr>
          <w:p w14:paraId="746FE94E" w14:textId="77777777" w:rsidR="00695DEB" w:rsidRPr="00D5095D" w:rsidRDefault="00695D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77777777" w:rsidR="00695DEB" w:rsidRPr="00D5095D" w:rsidRDefault="00695DEB" w:rsidP="00CB46D4">
            <w:pPr>
              <w:cnfStyle w:val="000000000000" w:firstRow="0" w:lastRow="0" w:firstColumn="0" w:lastColumn="0" w:oddVBand="0" w:evenVBand="0" w:oddHBand="0" w:evenHBand="0" w:firstRowFirstColumn="0" w:firstRowLastColumn="0" w:lastRowFirstColumn="0" w:lastRowLastColumn="0"/>
            </w:pPr>
          </w:p>
        </w:tc>
      </w:tr>
      <w:tr w:rsidR="00695DEB" w:rsidRPr="00D5095D" w14:paraId="39703162" w14:textId="77777777" w:rsidTr="1342D17E">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D5095D" w:rsidRDefault="00695DEB" w:rsidP="00CB46D4">
            <w:pPr>
              <w:rPr>
                <w:color w:val="747474" w:themeColor="background2" w:themeShade="80"/>
              </w:rPr>
            </w:pPr>
            <w:r w:rsidRPr="00D5095D">
              <w:rPr>
                <w:color w:val="747474" w:themeColor="background2" w:themeShade="80"/>
              </w:rPr>
              <w:t>5.23</w:t>
            </w:r>
          </w:p>
        </w:tc>
        <w:tc>
          <w:tcPr>
            <w:tcW w:w="2126" w:type="dxa"/>
          </w:tcPr>
          <w:p w14:paraId="2FE7805B" w14:textId="14AA6ED6" w:rsidR="00695DEB" w:rsidRPr="00D5095D" w:rsidRDefault="00E62DE5"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Ranking</w:t>
            </w:r>
          </w:p>
        </w:tc>
        <w:tc>
          <w:tcPr>
            <w:tcW w:w="2127" w:type="dxa"/>
          </w:tcPr>
          <w:p w14:paraId="5F33DD6D" w14:textId="77777777" w:rsidR="00695DEB" w:rsidRPr="00D5095D" w:rsidRDefault="00695D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77777777" w:rsidR="00695DEB" w:rsidRPr="00D5095D" w:rsidRDefault="00695DEB" w:rsidP="00CB46D4">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D5095D" w:rsidRDefault="005D4AEB" w:rsidP="005D4AEB">
      <w:pPr>
        <w:pStyle w:val="SubtitleH2"/>
        <w:rPr>
          <w:rFonts w:eastAsiaTheme="minorEastAsia"/>
          <w:iCs/>
          <w:color w:val="000000" w:themeColor="text1"/>
          <w:sz w:val="24"/>
          <w:szCs w:val="24"/>
          <w:shd w:val="clear" w:color="auto" w:fill="auto"/>
        </w:rPr>
      </w:pPr>
      <w:r w:rsidRPr="00D5095D">
        <w:t>Sections 6-14 Advertising Framework</w:t>
      </w:r>
    </w:p>
    <w:p w14:paraId="2841DD77" w14:textId="46F44066" w:rsidR="005D4AEB" w:rsidRPr="00D5095D" w:rsidRDefault="003A19BC" w:rsidP="003A19BC">
      <w:pPr>
        <w:pStyle w:val="SectionHead"/>
        <w:rPr>
          <w:rFonts w:cs="Arial"/>
        </w:rPr>
      </w:pPr>
      <w:bookmarkStart w:id="9" w:name="_Toc170216093"/>
      <w:r w:rsidRPr="00D5095D">
        <w:rPr>
          <w:rFonts w:cs="Arial"/>
        </w:rPr>
        <w:lastRenderedPageBreak/>
        <w:t>Branded Content: General legal and regulatory framework</w:t>
      </w:r>
      <w:bookmarkEnd w:id="9"/>
      <w:r w:rsidR="005D4AEB" w:rsidRPr="00D5095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D5095D" w14:paraId="4ADABECF" w14:textId="77777777" w:rsidTr="6CADB27D">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D5095D" w:rsidRDefault="005D4AEB" w:rsidP="00CB46D4">
            <w:pPr>
              <w:pStyle w:val="Tableheadings"/>
              <w:spacing w:line="240" w:lineRule="auto"/>
              <w:rPr>
                <w:b/>
                <w:bCs/>
              </w:rPr>
            </w:pPr>
            <w:r w:rsidRPr="00D5095D">
              <w:rPr>
                <w:b/>
                <w:bCs/>
              </w:rPr>
              <w:t>Item</w:t>
            </w:r>
          </w:p>
        </w:tc>
        <w:tc>
          <w:tcPr>
            <w:tcW w:w="2126" w:type="dxa"/>
            <w:tcBorders>
              <w:bottom w:val="none" w:sz="0" w:space="0" w:color="auto"/>
            </w:tcBorders>
          </w:tcPr>
          <w:p w14:paraId="1D295499" w14:textId="77777777" w:rsidR="005D4AEB" w:rsidRPr="00D5095D"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559F44AE" w14:textId="77777777" w:rsidR="005D4AEB" w:rsidRPr="00D5095D"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 xml:space="preserve">Classification </w:t>
            </w:r>
          </w:p>
        </w:tc>
        <w:tc>
          <w:tcPr>
            <w:tcW w:w="5670" w:type="dxa"/>
            <w:tcBorders>
              <w:bottom w:val="none" w:sz="0" w:space="0" w:color="auto"/>
            </w:tcBorders>
          </w:tcPr>
          <w:p w14:paraId="5A1AA28C" w14:textId="77777777" w:rsidR="005D4AEB" w:rsidRPr="00D5095D"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Description</w:t>
            </w:r>
          </w:p>
        </w:tc>
      </w:tr>
      <w:tr w:rsidR="005D4AEB" w:rsidRPr="00D5095D" w14:paraId="40A76C9C" w14:textId="77777777" w:rsidTr="6CADB27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D5095D" w:rsidRDefault="003A19BC" w:rsidP="00CB46D4">
            <w:pPr>
              <w:rPr>
                <w:b w:val="0"/>
                <w:bCs w:val="0"/>
                <w:color w:val="747474" w:themeColor="background2" w:themeShade="80"/>
              </w:rPr>
            </w:pPr>
            <w:r w:rsidRPr="00D5095D">
              <w:rPr>
                <w:color w:val="747474" w:themeColor="background2" w:themeShade="80"/>
              </w:rPr>
              <w:t>6</w:t>
            </w:r>
            <w:r w:rsidR="005D4AEB" w:rsidRPr="00D5095D">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D5095D"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D5095D"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D5095D"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D5095D">
              <w:rPr>
                <w:rFonts w:eastAsia="Times New Roman"/>
                <w:color w:val="000000"/>
                <w:lang w:eastAsia="en-GB"/>
              </w:rPr>
              <w:t>In the EU, the Unfair Commercial Practices Directive (</w:t>
            </w:r>
            <w:hyperlink r:id="rId101" w:tgtFrame="_blank" w:history="1">
              <w:r w:rsidRPr="00D5095D">
                <w:rPr>
                  <w:rFonts w:eastAsia="Times New Roman"/>
                  <w:color w:val="0563C1"/>
                  <w:u w:val="single"/>
                  <w:lang w:eastAsia="en-GB"/>
                </w:rPr>
                <w:t>Directive 2005/29/EC</w:t>
              </w:r>
            </w:hyperlink>
            <w:r w:rsidRPr="00D5095D">
              <w:rPr>
                <w:rFonts w:eastAsia="Times New Roman"/>
                <w:color w:val="000000"/>
                <w:lang w:eastAsia="en-GB"/>
              </w:rPr>
              <w:t>) and the Misleading and Comparative Advertising Directive (</w:t>
            </w:r>
            <w:hyperlink r:id="rId102" w:tgtFrame="_blank" w:history="1">
              <w:r w:rsidRPr="00D5095D">
                <w:rPr>
                  <w:rFonts w:eastAsia="Times New Roman"/>
                  <w:color w:val="0563C1"/>
                  <w:u w:val="single"/>
                  <w:lang w:eastAsia="en-GB"/>
                </w:rPr>
                <w:t>Directive 2006/114/EC</w:t>
              </w:r>
            </w:hyperlink>
            <w:r w:rsidRPr="00D5095D">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103" w:tgtFrame="_blank" w:history="1">
              <w:r w:rsidRPr="00D5095D">
                <w:rPr>
                  <w:rFonts w:eastAsia="Times New Roman"/>
                  <w:color w:val="0563C1"/>
                  <w:u w:val="single"/>
                  <w:lang w:eastAsia="en-GB"/>
                </w:rPr>
                <w:t>Directive 2005/29/EC</w:t>
              </w:r>
            </w:hyperlink>
            <w:r w:rsidRPr="00D5095D">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04" w:tgtFrame="_blank" w:history="1">
              <w:r w:rsidRPr="00D5095D">
                <w:rPr>
                  <w:rFonts w:eastAsia="Times New Roman"/>
                  <w:color w:val="0563C1"/>
                  <w:u w:val="single"/>
                  <w:lang w:eastAsia="en-GB"/>
                </w:rPr>
                <w:t>Directive 2005/29/EC</w:t>
              </w:r>
            </w:hyperlink>
            <w:r w:rsidRPr="00D5095D">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05" w:tgtFrame="_blank" w:history="1">
              <w:r w:rsidRPr="00D5095D">
                <w:rPr>
                  <w:rFonts w:eastAsia="Times New Roman"/>
                  <w:color w:val="0563C1"/>
                  <w:u w:val="single"/>
                  <w:lang w:eastAsia="en-GB"/>
                </w:rPr>
                <w:t>Directive 2006/114/EC</w:t>
              </w:r>
            </w:hyperlink>
            <w:r w:rsidRPr="00D5095D">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06" w:tgtFrame="_blank" w:history="1">
              <w:r w:rsidRPr="00D5095D">
                <w:rPr>
                  <w:rFonts w:eastAsia="Times New Roman"/>
                  <w:color w:val="0563C1"/>
                  <w:u w:val="single"/>
                  <w:lang w:eastAsia="en-GB"/>
                </w:rPr>
                <w:t>Directive 2006/114/EC</w:t>
              </w:r>
            </w:hyperlink>
            <w:r w:rsidRPr="00D5095D">
              <w:rPr>
                <w:rFonts w:eastAsia="Times New Roman"/>
                <w:color w:val="000000"/>
                <w:lang w:eastAsia="en-GB"/>
              </w:rPr>
              <w:t>, Article 4 (a)). </w:t>
            </w:r>
            <w:r w:rsidR="00475121" w:rsidRPr="00D5095D">
              <w:rPr>
                <w:rStyle w:val="normaltextrun"/>
                <w:color w:val="000000"/>
                <w:shd w:val="clear" w:color="auto" w:fill="FFFFFF"/>
              </w:rPr>
              <w:t xml:space="preserve">Jonathan Hardy adds that Article 22 in the </w:t>
            </w:r>
            <w:hyperlink r:id="rId107" w:tgtFrame="_blank" w:history="1">
              <w:r w:rsidR="00475121" w:rsidRPr="00D5095D">
                <w:rPr>
                  <w:rStyle w:val="normaltextrun"/>
                  <w:color w:val="0563C1"/>
                  <w:u w:val="single"/>
                  <w:shd w:val="clear" w:color="auto" w:fill="FFFFFF"/>
                </w:rPr>
                <w:t>Annex I to Directive 2005/29/EC</w:t>
              </w:r>
            </w:hyperlink>
            <w:r w:rsidR="00475121" w:rsidRPr="00D5095D">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D5095D"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D5095D">
              <w:rPr>
                <w:rFonts w:eastAsia="Times New Roman"/>
                <w:color w:val="000000"/>
                <w:lang w:eastAsia="en-GB"/>
              </w:rPr>
              <w:t> </w:t>
            </w:r>
          </w:p>
          <w:p w14:paraId="7DC01071" w14:textId="77777777" w:rsidR="00A632DE" w:rsidRDefault="00D3084C" w:rsidP="0056506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D5095D">
              <w:rPr>
                <w:rFonts w:eastAsia="Times New Roman"/>
                <w:color w:val="000000"/>
                <w:lang w:eastAsia="en-GB"/>
              </w:rPr>
              <w:t>The Unfair Commercial Practices Directive and the Misleading and Comparative Advertising Directive were transposed into</w:t>
            </w:r>
            <w:r w:rsidR="00565061">
              <w:rPr>
                <w:rFonts w:eastAsia="Times New Roman"/>
                <w:color w:val="000000"/>
                <w:lang w:eastAsia="en-GB"/>
              </w:rPr>
              <w:t xml:space="preserve"> Latvian</w:t>
            </w:r>
            <w:r w:rsidRPr="00D5095D">
              <w:rPr>
                <w:rFonts w:eastAsia="Times New Roman"/>
                <w:color w:val="FF0000"/>
                <w:lang w:eastAsia="en-GB"/>
              </w:rPr>
              <w:t xml:space="preserve"> </w:t>
            </w:r>
            <w:r w:rsidRPr="00D5095D">
              <w:rPr>
                <w:rFonts w:eastAsia="Times New Roman"/>
                <w:color w:val="000000"/>
                <w:lang w:eastAsia="en-GB"/>
              </w:rPr>
              <w:t>national law through</w:t>
            </w:r>
            <w:r w:rsidR="00565061">
              <w:rPr>
                <w:rFonts w:eastAsia="Times New Roman"/>
                <w:color w:val="000000"/>
                <w:lang w:eastAsia="en-GB"/>
              </w:rPr>
              <w:t xml:space="preserve"> </w:t>
            </w:r>
            <w:hyperlink r:id="rId108" w:tgtFrame="_blank" w:history="1">
              <w:r w:rsidR="0091506D" w:rsidRPr="00E27C35">
                <w:rPr>
                  <w:rStyle w:val="normaltextrun"/>
                  <w:rFonts w:eastAsiaTheme="majorEastAsia"/>
                  <w:color w:val="0563C1"/>
                  <w:u w:val="single"/>
                  <w:shd w:val="clear" w:color="auto" w:fill="FFFFFF"/>
                </w:rPr>
                <w:t>The Advertising Law 2000</w:t>
              </w:r>
            </w:hyperlink>
            <w:r w:rsidR="0091506D" w:rsidRPr="00E27C35">
              <w:rPr>
                <w:rStyle w:val="normaltextrun"/>
                <w:rFonts w:eastAsiaTheme="majorEastAsia"/>
                <w:color w:val="000000"/>
                <w:shd w:val="clear" w:color="auto" w:fill="FFFFFF"/>
              </w:rPr>
              <w:t xml:space="preserve"> (Reklāmas likums)</w:t>
            </w:r>
            <w:r w:rsidR="0091506D">
              <w:rPr>
                <w:rStyle w:val="normaltextrun"/>
                <w:rFonts w:eastAsiaTheme="majorEastAsia"/>
                <w:color w:val="000000"/>
                <w:shd w:val="clear" w:color="auto" w:fill="FFFFFF"/>
              </w:rPr>
              <w:t>,</w:t>
            </w:r>
            <w:r w:rsidR="007C0CD2">
              <w:rPr>
                <w:rStyle w:val="normaltextrun"/>
                <w:rFonts w:eastAsiaTheme="majorEastAsia"/>
                <w:color w:val="000000"/>
                <w:shd w:val="clear" w:color="auto" w:fill="FFFFFF"/>
              </w:rPr>
              <w:t xml:space="preserve"> last amended in 2016,</w:t>
            </w:r>
            <w:r w:rsidR="0091506D">
              <w:rPr>
                <w:rStyle w:val="normaltextrun"/>
                <w:rFonts w:eastAsiaTheme="majorEastAsia"/>
                <w:color w:val="000000"/>
                <w:shd w:val="clear" w:color="auto" w:fill="FFFFFF"/>
              </w:rPr>
              <w:t xml:space="preserve"> </w:t>
            </w:r>
            <w:r w:rsidR="0091506D" w:rsidRPr="00E27C35">
              <w:rPr>
                <w:rStyle w:val="normaltextrun"/>
                <w:rFonts w:eastAsiaTheme="majorEastAsia"/>
                <w:color w:val="000000"/>
                <w:shd w:val="clear" w:color="auto" w:fill="FFFFFF"/>
              </w:rPr>
              <w:t xml:space="preserve">and </w:t>
            </w:r>
            <w:hyperlink r:id="rId109" w:tgtFrame="_blank" w:history="1">
              <w:r w:rsidR="0091506D" w:rsidRPr="00E27C35">
                <w:rPr>
                  <w:rStyle w:val="normaltextrun"/>
                  <w:rFonts w:eastAsiaTheme="majorEastAsia"/>
                  <w:color w:val="0563C1"/>
                  <w:u w:val="single"/>
                  <w:shd w:val="clear" w:color="auto" w:fill="FFFFFF"/>
                </w:rPr>
                <w:t>The Unfair Commercial Practices Prohibition Law 2008</w:t>
              </w:r>
            </w:hyperlink>
            <w:r w:rsidR="0091506D" w:rsidRPr="00E27C35">
              <w:rPr>
                <w:rStyle w:val="normaltextrun"/>
                <w:rFonts w:eastAsiaTheme="majorEastAsia"/>
                <w:color w:val="000000"/>
                <w:shd w:val="clear" w:color="auto" w:fill="FFFFFF"/>
              </w:rPr>
              <w:t xml:space="preserve"> (Negodīgas komercprakses aizlieguma likums</w:t>
            </w:r>
            <w:r w:rsidR="007C0CD2">
              <w:rPr>
                <w:rStyle w:val="normaltextrun"/>
                <w:rFonts w:eastAsiaTheme="majorEastAsia"/>
                <w:color w:val="000000"/>
                <w:shd w:val="clear" w:color="auto" w:fill="FFFFFF"/>
              </w:rPr>
              <w:t>)</w:t>
            </w:r>
            <w:r w:rsidR="007C0CD2">
              <w:rPr>
                <w:rFonts w:eastAsia="Times New Roman"/>
                <w:lang w:eastAsia="en-GB"/>
              </w:rPr>
              <w:t xml:space="preserve">, </w:t>
            </w:r>
            <w:hyperlink r:id="rId110" w:history="1">
              <w:r w:rsidR="007C0CD2" w:rsidRPr="007C0CD2">
                <w:rPr>
                  <w:rStyle w:val="Hyperlink"/>
                  <w:rFonts w:eastAsia="Times New Roman"/>
                  <w:lang w:eastAsia="en-GB"/>
                </w:rPr>
                <w:t>last amended in 2023</w:t>
              </w:r>
            </w:hyperlink>
            <w:r w:rsidR="007C0CD2" w:rsidRPr="00FB40D7">
              <w:rPr>
                <w:rFonts w:eastAsia="Times New Roman"/>
                <w:lang w:eastAsia="en-GB"/>
              </w:rPr>
              <w:t>.</w:t>
            </w:r>
            <w:r w:rsidR="00A632DE">
              <w:rPr>
                <w:rFonts w:eastAsia="Times New Roman"/>
                <w:lang w:eastAsia="en-GB"/>
              </w:rPr>
              <w:t xml:space="preserve"> </w:t>
            </w:r>
          </w:p>
          <w:p w14:paraId="5CB9C19E" w14:textId="77777777" w:rsidR="00A632DE" w:rsidRDefault="00A632DE" w:rsidP="0056506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2EB3CE4E" w14:textId="4C43B669" w:rsidR="0091506D" w:rsidRDefault="00000000" w:rsidP="0056506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hyperlink r:id="rId111" w:tgtFrame="_blank" w:history="1">
              <w:r w:rsidR="00A632DE" w:rsidRPr="00E27C35">
                <w:rPr>
                  <w:rStyle w:val="normaltextrun"/>
                  <w:rFonts w:eastAsiaTheme="majorEastAsia"/>
                  <w:color w:val="0563C1"/>
                  <w:u w:val="single"/>
                  <w:shd w:val="clear" w:color="auto" w:fill="FFFFFF"/>
                </w:rPr>
                <w:t>The Unfair Commercial Practices Prohibition Law 2008</w:t>
              </w:r>
            </w:hyperlink>
            <w:r w:rsidR="00A632DE">
              <w:t xml:space="preserve"> restates the relevant rule in Chapter 3: Misleading Commercial Practices, Section 10: Misleading Omissions, (1) </w:t>
            </w:r>
            <w:r w:rsidR="00A632DE" w:rsidRPr="00A632DE">
              <w:t>2</w:t>
            </w:r>
            <w:r w:rsidR="00A632DE">
              <w:t>:</w:t>
            </w:r>
            <w:r w:rsidR="00A632DE" w:rsidRPr="00A632DE">
              <w:t xml:space="preserve"> </w:t>
            </w:r>
            <w:r w:rsidR="00A632DE">
              <w:t>‘</w:t>
            </w:r>
            <w:r w:rsidR="00A632DE" w:rsidRPr="00A632DE">
              <w:t xml:space="preserve">the performer of commercial practices hides significant information or provides it in an unclear, unintelligible, ambiguous or untimely manner, or fails to identify the commercial intent of the commercial practice, </w:t>
            </w:r>
            <w:r w:rsidR="00A632DE" w:rsidRPr="00A632DE">
              <w:lastRenderedPageBreak/>
              <w:t>if not already apparent from the context, and as a result of it an average consumer takes or may take such decision on action relating to a transaction, which he or she would not have taken otherwise</w:t>
            </w:r>
            <w:r w:rsidR="00A632DE">
              <w:t>’</w:t>
            </w:r>
            <w:r w:rsidR="00A632DE" w:rsidRPr="00A632DE">
              <w:t>.</w:t>
            </w:r>
          </w:p>
          <w:p w14:paraId="484F5CA7" w14:textId="77777777" w:rsidR="0091506D" w:rsidRDefault="0091506D"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421BD42C" w14:textId="28FD0557" w:rsidR="0091506D" w:rsidRPr="0091506D" w:rsidRDefault="0091506D"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Pr>
                <w:rStyle w:val="normaltextrun"/>
                <w:color w:val="000000"/>
                <w:shd w:val="clear" w:color="auto" w:fill="FFFFFF"/>
              </w:rPr>
              <w:t>T</w:t>
            </w:r>
            <w:r w:rsidRPr="007179A5">
              <w:rPr>
                <w:rStyle w:val="normaltextrun"/>
                <w:color w:val="000000"/>
                <w:shd w:val="clear" w:color="auto" w:fill="FFFFFF"/>
              </w:rPr>
              <w:t>he Latvian Advertising Professionals' Code of Ethics (</w:t>
            </w:r>
            <w:hyperlink r:id="rId112" w:tgtFrame="_blank" w:history="1">
              <w:r w:rsidRPr="007179A5">
                <w:rPr>
                  <w:rStyle w:val="normaltextrun"/>
                  <w:color w:val="0563C1"/>
                  <w:u w:val="single"/>
                  <w:shd w:val="clear" w:color="auto" w:fill="FFFFFF"/>
                </w:rPr>
                <w:t>Latvian Advertising Association 2014</w:t>
              </w:r>
            </w:hyperlink>
            <w:r w:rsidRPr="007179A5">
              <w:rPr>
                <w:rStyle w:val="normaltextrun"/>
                <w:color w:val="000000"/>
                <w:shd w:val="clear" w:color="auto" w:fill="FFFFFF"/>
              </w:rPr>
              <w:t>)</w:t>
            </w:r>
            <w:r>
              <w:rPr>
                <w:rStyle w:val="normaltextrun"/>
                <w:color w:val="000000"/>
                <w:shd w:val="clear" w:color="auto" w:fill="FFFFFF"/>
              </w:rPr>
              <w:t>: a</w:t>
            </w:r>
            <w:r w:rsidRPr="0091506D">
              <w:rPr>
                <w:rStyle w:val="normaltextrun"/>
                <w:color w:val="000000"/>
                <w:shd w:val="clear" w:color="auto" w:fill="FFFFFF"/>
              </w:rPr>
              <w:t xml:space="preserve">t the end of the section 7.1.3. (entitled ‘advertising must be truthful and objective’) </w:t>
            </w:r>
            <w:r>
              <w:rPr>
                <w:rStyle w:val="normaltextrun"/>
                <w:color w:val="000000"/>
                <w:shd w:val="clear" w:color="auto" w:fill="FFFFFF"/>
              </w:rPr>
              <w:t xml:space="preserve">the Code </w:t>
            </w:r>
            <w:r w:rsidRPr="0091506D">
              <w:rPr>
                <w:rStyle w:val="normaltextrun"/>
                <w:color w:val="000000"/>
                <w:shd w:val="clear" w:color="auto" w:fill="FFFFFF"/>
              </w:rPr>
              <w:t xml:space="preserve">specifies that ‘advertising must not be presented as news’ (Latvian Advertising Association 2014: 5). This is the only rule concerning branded content in the Code, beyond the general principles banning misleading or dishonest advertising. For more information, </w:t>
            </w:r>
            <w:r>
              <w:rPr>
                <w:rStyle w:val="normaltextrun"/>
                <w:color w:val="000000"/>
                <w:shd w:val="clear" w:color="auto" w:fill="FFFFFF"/>
              </w:rPr>
              <w:t xml:space="preserve">please </w:t>
            </w:r>
            <w:r w:rsidRPr="0091506D">
              <w:rPr>
                <w:rStyle w:val="normaltextrun"/>
                <w:color w:val="000000"/>
                <w:shd w:val="clear" w:color="auto" w:fill="FFFFFF"/>
              </w:rPr>
              <w:t xml:space="preserve">see </w:t>
            </w:r>
            <w:r w:rsidRPr="00A632DE">
              <w:rPr>
                <w:rStyle w:val="normaltextrun"/>
                <w:b/>
                <w:bCs/>
                <w:color w:val="000000"/>
                <w:shd w:val="clear" w:color="auto" w:fill="FFFFFF"/>
              </w:rPr>
              <w:t>5.7</w:t>
            </w:r>
            <w:r w:rsidRPr="0091506D">
              <w:rPr>
                <w:rStyle w:val="normaltextrun"/>
                <w:color w:val="000000"/>
                <w:shd w:val="clear" w:color="auto" w:fill="FFFFFF"/>
              </w:rPr>
              <w:t>.</w:t>
            </w:r>
            <w:r w:rsidRPr="0091506D">
              <w:rPr>
                <w:rStyle w:val="eop"/>
                <w:color w:val="000000"/>
                <w:shd w:val="clear" w:color="auto" w:fill="FFFFFF"/>
              </w:rPr>
              <w:t> </w:t>
            </w:r>
          </w:p>
        </w:tc>
      </w:tr>
      <w:tr w:rsidR="005D4AEB" w:rsidRPr="00D5095D" w14:paraId="6EBFABA2" w14:textId="77777777" w:rsidTr="6CADB27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D5095D" w:rsidRDefault="003A19BC" w:rsidP="00CB46D4">
            <w:pPr>
              <w:rPr>
                <w:color w:val="3A3A3A" w:themeColor="background2" w:themeShade="40"/>
              </w:rPr>
            </w:pPr>
            <w:r w:rsidRPr="00D5095D">
              <w:rPr>
                <w:color w:val="747474" w:themeColor="background2" w:themeShade="80"/>
              </w:rPr>
              <w:lastRenderedPageBreak/>
              <w:t>6</w:t>
            </w:r>
            <w:r w:rsidR="005D4AEB" w:rsidRPr="00D5095D">
              <w:rPr>
                <w:color w:val="747474" w:themeColor="background2" w:themeShade="80"/>
              </w:rPr>
              <w:t>.2</w:t>
            </w:r>
          </w:p>
        </w:tc>
        <w:tc>
          <w:tcPr>
            <w:tcW w:w="2126" w:type="dxa"/>
          </w:tcPr>
          <w:p w14:paraId="46E4F5FD" w14:textId="0FD8913A" w:rsidR="005D4AEB" w:rsidRPr="00D5095D"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Are there general rules requiring that marketing communications identify who the advertiser/sponsor of the advertising is?</w:t>
            </w:r>
          </w:p>
        </w:tc>
        <w:tc>
          <w:tcPr>
            <w:tcW w:w="2127" w:type="dxa"/>
          </w:tcPr>
          <w:p w14:paraId="58BDD7EE" w14:textId="77777777" w:rsidR="005D4AEB" w:rsidRPr="00D5095D"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30558C3" w14:textId="77777777" w:rsidR="00A632DE"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D5095D">
              <w:rPr>
                <w:rStyle w:val="normaltextrun"/>
                <w:color w:val="000000"/>
                <w:shd w:val="clear" w:color="auto" w:fill="FFFFFF"/>
              </w:rPr>
              <w:t>In the EU, the Unfair Commercial Practices Directive (</w:t>
            </w:r>
            <w:hyperlink r:id="rId113"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D5095D">
              <w:rPr>
                <w:rStyle w:val="eop"/>
                <w:color w:val="000000"/>
                <w:shd w:val="clear" w:color="auto" w:fill="FFFFFF"/>
              </w:rPr>
              <w:t> </w:t>
            </w:r>
          </w:p>
          <w:p w14:paraId="5CD33A18" w14:textId="77777777" w:rsidR="00A632DE" w:rsidRDefault="00A632DE"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611AA51" w14:textId="6F2AED01" w:rsidR="005D4AEB" w:rsidRPr="00D5095D" w:rsidRDefault="00000000" w:rsidP="00CB46D4">
            <w:pPr>
              <w:cnfStyle w:val="000000000000" w:firstRow="0" w:lastRow="0" w:firstColumn="0" w:lastColumn="0" w:oddVBand="0" w:evenVBand="0" w:oddHBand="0" w:evenHBand="0" w:firstRowFirstColumn="0" w:firstRowLastColumn="0" w:lastRowFirstColumn="0" w:lastRowLastColumn="0"/>
            </w:pPr>
            <w:hyperlink r:id="rId114" w:tgtFrame="_blank" w:history="1">
              <w:r w:rsidR="00A632DE" w:rsidRPr="00E27C35">
                <w:rPr>
                  <w:rStyle w:val="normaltextrun"/>
                  <w:rFonts w:eastAsiaTheme="majorEastAsia"/>
                  <w:color w:val="0563C1"/>
                  <w:u w:val="single"/>
                  <w:shd w:val="clear" w:color="auto" w:fill="FFFFFF"/>
                </w:rPr>
                <w:t>The Unfair Commercial Practices Prohibition Law 2008</w:t>
              </w:r>
            </w:hyperlink>
            <w:r w:rsidR="00A632DE">
              <w:t xml:space="preserve"> restates this rule in Chapter 3: Misleading Commercial Practices, Section 10: Misleading Omissions, (3) 2.</w:t>
            </w:r>
          </w:p>
        </w:tc>
      </w:tr>
      <w:tr w:rsidR="005D4AEB" w:rsidRPr="00D5095D" w14:paraId="60E57D78" w14:textId="77777777" w:rsidTr="6CADB27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D5095D" w:rsidRDefault="003A19BC" w:rsidP="00CB46D4">
            <w:pPr>
              <w:rPr>
                <w:color w:val="747474" w:themeColor="background2" w:themeShade="80"/>
              </w:rPr>
            </w:pPr>
            <w:r w:rsidRPr="00D5095D">
              <w:rPr>
                <w:color w:val="747474" w:themeColor="background2" w:themeShade="80"/>
              </w:rPr>
              <w:t>6</w:t>
            </w:r>
            <w:r w:rsidR="005D4AEB" w:rsidRPr="00D5095D">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D5095D"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D5095D"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2B76689" w14:textId="1476FD34" w:rsidR="005D4AEB" w:rsidRPr="00D5095D" w:rsidRDefault="00294389" w:rsidP="00CB46D4">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In the EU, the Unfair Commercial Practices Directive (</w:t>
            </w:r>
            <w:hyperlink r:id="rId115"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16" w:tgtFrame="_blank" w:history="1">
              <w:r w:rsidRPr="00D5095D">
                <w:rPr>
                  <w:rStyle w:val="normaltextrun"/>
                  <w:color w:val="0563C1"/>
                  <w:u w:val="single"/>
                  <w:shd w:val="clear" w:color="auto" w:fill="FFFFFF"/>
                </w:rPr>
                <w:t>Annex I to Directive 2005/29/EC, (11)</w:t>
              </w:r>
            </w:hyperlink>
            <w:r w:rsidRPr="00D5095D">
              <w:rPr>
                <w:rStyle w:val="normaltextrun"/>
                <w:color w:val="000000"/>
                <w:shd w:val="clear" w:color="auto" w:fill="FFFFFF"/>
              </w:rPr>
              <w:t>).</w:t>
            </w:r>
          </w:p>
        </w:tc>
      </w:tr>
      <w:tr w:rsidR="005D4AEB" w:rsidRPr="00D5095D" w14:paraId="59A9321E" w14:textId="77777777" w:rsidTr="6CADB27D">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D5095D" w:rsidRDefault="003A19BC" w:rsidP="00CB46D4">
            <w:pPr>
              <w:rPr>
                <w:color w:val="747474" w:themeColor="background2" w:themeShade="80"/>
              </w:rPr>
            </w:pPr>
            <w:r w:rsidRPr="00D5095D">
              <w:rPr>
                <w:color w:val="747474" w:themeColor="background2" w:themeShade="80"/>
              </w:rPr>
              <w:t>6</w:t>
            </w:r>
            <w:r w:rsidR="005D4AEB" w:rsidRPr="00D5095D">
              <w:rPr>
                <w:color w:val="747474" w:themeColor="background2" w:themeShade="80"/>
              </w:rPr>
              <w:t>.4</w:t>
            </w:r>
          </w:p>
        </w:tc>
        <w:tc>
          <w:tcPr>
            <w:tcW w:w="2126" w:type="dxa"/>
          </w:tcPr>
          <w:p w14:paraId="4FA5E021" w14:textId="5165EF48" w:rsidR="005D4AEB" w:rsidRPr="00D5095D"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D5095D">
              <w:t>What are the rules governing the use of endorsements and testimonials in advertising?</w:t>
            </w:r>
          </w:p>
        </w:tc>
        <w:tc>
          <w:tcPr>
            <w:tcW w:w="2127" w:type="dxa"/>
          </w:tcPr>
          <w:p w14:paraId="29943F29" w14:textId="77777777" w:rsidR="005D4AEB" w:rsidRPr="00D5095D"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C46CA86" w14:textId="5E4FA2EE" w:rsidR="001902B4"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D5095D">
              <w:rPr>
                <w:rStyle w:val="normaltextrun"/>
                <w:color w:val="000000"/>
                <w:shd w:val="clear" w:color="auto" w:fill="FFFFFF"/>
              </w:rPr>
              <w:t>In the EU, the Unfair Commercial Practices Directive (</w:t>
            </w:r>
            <w:hyperlink r:id="rId117"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includes commercial practices prohibited in all circumstances (‘blacklist’). The Amending Directive (EU) 2019/2161 (</w:t>
            </w:r>
            <w:hyperlink r:id="rId118" w:tgtFrame="_blank" w:history="1">
              <w:r w:rsidRPr="00D5095D">
                <w:rPr>
                  <w:rStyle w:val="normaltextrun"/>
                  <w:color w:val="0563C1"/>
                  <w:u w:val="single"/>
                  <w:shd w:val="clear" w:color="auto" w:fill="FFFFFF"/>
                </w:rPr>
                <w:t>The Omnibus Directive</w:t>
              </w:r>
            </w:hyperlink>
            <w:r w:rsidRPr="00D5095D">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D5095D">
              <w:rPr>
                <w:rStyle w:val="eop"/>
                <w:color w:val="000000"/>
                <w:shd w:val="clear" w:color="auto" w:fill="FFFFFF"/>
              </w:rPr>
              <w:t> </w:t>
            </w:r>
          </w:p>
          <w:p w14:paraId="143F8AA9" w14:textId="77777777" w:rsidR="007C0CD2" w:rsidRDefault="007C0CD2"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747D452" w14:textId="3B7B2FA5" w:rsidR="007C0CD2" w:rsidRPr="007C0CD2" w:rsidRDefault="007C0CD2" w:rsidP="00CB46D4">
            <w:pPr>
              <w:cnfStyle w:val="000000000000" w:firstRow="0" w:lastRow="0" w:firstColumn="0" w:lastColumn="0" w:oddVBand="0" w:evenVBand="0" w:oddHBand="0" w:evenHBand="0" w:firstRowFirstColumn="0" w:firstRowLastColumn="0" w:lastRowFirstColumn="0" w:lastRowLastColumn="0"/>
            </w:pPr>
            <w:r>
              <w:rPr>
                <w:rStyle w:val="normaltextrun"/>
                <w:color w:val="000000"/>
                <w:shd w:val="clear" w:color="auto" w:fill="FFFFFF"/>
              </w:rPr>
              <w:lastRenderedPageBreak/>
              <w:t>T</w:t>
            </w:r>
            <w:r w:rsidRPr="007179A5">
              <w:rPr>
                <w:rStyle w:val="normaltextrun"/>
                <w:color w:val="000000"/>
                <w:shd w:val="clear" w:color="auto" w:fill="FFFFFF"/>
              </w:rPr>
              <w:t>he Latvian Advertising Professionals' Code of Ethics (</w:t>
            </w:r>
            <w:hyperlink r:id="rId119" w:tgtFrame="_blank" w:history="1">
              <w:r w:rsidRPr="007179A5">
                <w:rPr>
                  <w:rStyle w:val="normaltextrun"/>
                  <w:color w:val="0563C1"/>
                  <w:u w:val="single"/>
                  <w:shd w:val="clear" w:color="auto" w:fill="FFFFFF"/>
                </w:rPr>
                <w:t>Latvian Advertising Association 2014</w:t>
              </w:r>
            </w:hyperlink>
            <w:r w:rsidRPr="007179A5">
              <w:rPr>
                <w:rStyle w:val="normaltextrun"/>
                <w:color w:val="000000"/>
                <w:shd w:val="clear" w:color="auto" w:fill="FFFFFF"/>
              </w:rPr>
              <w:t>)</w:t>
            </w:r>
            <w:r>
              <w:rPr>
                <w:rStyle w:val="normaltextrun"/>
                <w:color w:val="000000"/>
                <w:shd w:val="clear" w:color="auto" w:fill="FFFFFF"/>
              </w:rPr>
              <w:t xml:space="preserve">, </w:t>
            </w:r>
            <w:r w:rsidRPr="007C0CD2">
              <w:rPr>
                <w:rStyle w:val="normaltextrun"/>
                <w:color w:val="000000"/>
                <w:shd w:val="clear" w:color="auto" w:fill="FFFFFF"/>
              </w:rPr>
              <w:t>Section 7.4.1.</w:t>
            </w:r>
            <w:r w:rsidR="00E97376">
              <w:rPr>
                <w:rStyle w:val="normaltextrun"/>
                <w:color w:val="000000"/>
                <w:shd w:val="clear" w:color="auto" w:fill="FFFFFF"/>
              </w:rPr>
              <w:t xml:space="preserve"> </w:t>
            </w:r>
            <w:r w:rsidRPr="007C0CD2">
              <w:rPr>
                <w:rStyle w:val="normaltextrun"/>
                <w:color w:val="000000"/>
                <w:shd w:val="clear" w:color="auto" w:fill="FFFFFF"/>
              </w:rPr>
              <w:t>contains rules about personal experience and opinions, and states: ‘a person's statement about their personal experience must be true. References to the experience of other persons are permitted only if the consent of these persons has been obtained in advance. Statements made by persons must be received from them or documented in writing. Claims must relate to the product being advertised. References may only be used with the permission of the respective source. If an ad makes a statement about a person's personal experience, it should be perceived as the opinion of the person who expressed it, not as an indisputable fact. This rule must be observed especially if the opinion is expressed by a well-known person or a specialist in the relevant field. Opinions and statements of state and local government officials cannot be used in advertising, except for political advertising [Google Translate]’ (</w:t>
            </w:r>
            <w:hyperlink r:id="rId120" w:tgtFrame="_blank" w:history="1">
              <w:r w:rsidRPr="007C0CD2">
                <w:rPr>
                  <w:rStyle w:val="normaltextrun"/>
                  <w:color w:val="0563C1"/>
                  <w:u w:val="single"/>
                  <w:shd w:val="clear" w:color="auto" w:fill="FFFFFF"/>
                </w:rPr>
                <w:t>Latvian Advertising Association 2014:</w:t>
              </w:r>
            </w:hyperlink>
            <w:r w:rsidRPr="007C0CD2">
              <w:rPr>
                <w:rStyle w:val="normaltextrun"/>
                <w:color w:val="000000"/>
                <w:shd w:val="clear" w:color="auto" w:fill="FFFFFF"/>
              </w:rPr>
              <w:t xml:space="preserve"> 7).</w:t>
            </w:r>
            <w:r w:rsidRPr="007C0CD2">
              <w:rPr>
                <w:rStyle w:val="eop"/>
                <w:color w:val="000000"/>
                <w:shd w:val="clear" w:color="auto" w:fill="FFFFFF"/>
              </w:rPr>
              <w:t> </w:t>
            </w:r>
          </w:p>
        </w:tc>
      </w:tr>
      <w:tr w:rsidR="005D4AEB" w:rsidRPr="00D5095D" w14:paraId="006A77F6" w14:textId="77777777" w:rsidTr="6CADB27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D5095D" w:rsidRDefault="003A19BC" w:rsidP="00CB46D4">
            <w:pPr>
              <w:rPr>
                <w:color w:val="747474" w:themeColor="background2" w:themeShade="80"/>
              </w:rPr>
            </w:pPr>
            <w:r w:rsidRPr="00D5095D">
              <w:rPr>
                <w:color w:val="747474" w:themeColor="background2" w:themeShade="80"/>
              </w:rPr>
              <w:lastRenderedPageBreak/>
              <w:t>6</w:t>
            </w:r>
            <w:r w:rsidR="005D4AEB" w:rsidRPr="00D5095D">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D5095D"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D5095D">
              <w:t>General indicators of effectiveness (branded content)</w:t>
            </w:r>
          </w:p>
        </w:tc>
        <w:tc>
          <w:tcPr>
            <w:tcW w:w="2127" w:type="dxa"/>
            <w:tcBorders>
              <w:top w:val="none" w:sz="0" w:space="0" w:color="auto"/>
              <w:bottom w:val="none" w:sz="0" w:space="0" w:color="auto"/>
            </w:tcBorders>
          </w:tcPr>
          <w:p w14:paraId="40DFA622" w14:textId="77777777" w:rsidR="005D4AEB" w:rsidRPr="00D5095D"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33C43055" w:rsidR="005D4AEB" w:rsidRPr="00D5095D" w:rsidRDefault="155949F6" w:rsidP="00CB46D4">
            <w:pPr>
              <w:cnfStyle w:val="000000100000" w:firstRow="0" w:lastRow="0" w:firstColumn="0" w:lastColumn="0" w:oddVBand="0" w:evenVBand="0" w:oddHBand="1" w:evenHBand="0" w:firstRowFirstColumn="0" w:firstRowLastColumn="0" w:lastRowFirstColumn="0" w:lastRowLastColumn="0"/>
            </w:pPr>
            <w:r>
              <w:t>*</w:t>
            </w:r>
          </w:p>
        </w:tc>
      </w:tr>
    </w:tbl>
    <w:p w14:paraId="3EF2E791" w14:textId="77777777" w:rsidR="008D27DF" w:rsidRPr="00D5095D" w:rsidRDefault="008D27DF" w:rsidP="00CB5035">
      <w:pPr>
        <w:spacing w:after="0"/>
      </w:pPr>
    </w:p>
    <w:p w14:paraId="536D0D92" w14:textId="57B32F5B" w:rsidR="00CF62AF" w:rsidRPr="00D5095D" w:rsidRDefault="008D27DF" w:rsidP="008D27DF">
      <w:pPr>
        <w:pStyle w:val="Tableheadings"/>
      </w:pPr>
      <w:r w:rsidRPr="00D5095D">
        <w:t>Branded content sections</w:t>
      </w:r>
    </w:p>
    <w:p w14:paraId="2CFF42D2" w14:textId="77777777" w:rsidR="008D27DF" w:rsidRPr="00D5095D" w:rsidRDefault="008D27DF" w:rsidP="008D27DF">
      <w:pPr>
        <w:pStyle w:val="Tableheadings"/>
      </w:pPr>
    </w:p>
    <w:p w14:paraId="5734EB32" w14:textId="77777777" w:rsidR="00533017" w:rsidRPr="00D5095D" w:rsidRDefault="00533017" w:rsidP="00533017">
      <w:pPr>
        <w:pStyle w:val="SectionHead"/>
        <w:rPr>
          <w:rFonts w:cs="Arial"/>
        </w:rPr>
      </w:pPr>
      <w:bookmarkStart w:id="10" w:name="_Toc170216094"/>
      <w:r w:rsidRPr="00D5095D">
        <w:rPr>
          <w:rFonts w:cs="Arial"/>
        </w:rPr>
        <w:t>Publishing</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D5095D"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D5095D" w:rsidRDefault="008D27DF" w:rsidP="0081091B">
            <w:pPr>
              <w:pStyle w:val="Tableheadings"/>
              <w:spacing w:line="240" w:lineRule="auto"/>
              <w:rPr>
                <w:b/>
                <w:bCs/>
              </w:rPr>
            </w:pPr>
            <w:r w:rsidRPr="00D5095D">
              <w:rPr>
                <w:b/>
                <w:bCs/>
              </w:rPr>
              <w:t>Item</w:t>
            </w:r>
          </w:p>
        </w:tc>
        <w:tc>
          <w:tcPr>
            <w:tcW w:w="2126" w:type="dxa"/>
            <w:tcBorders>
              <w:bottom w:val="none" w:sz="0" w:space="0" w:color="auto"/>
            </w:tcBorders>
          </w:tcPr>
          <w:p w14:paraId="2EA91F6D" w14:textId="77777777" w:rsidR="008D27DF" w:rsidRPr="00D5095D"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292767B9" w14:textId="77777777" w:rsidR="008D27DF" w:rsidRPr="00D5095D"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color w:val="595959" w:themeColor="text1" w:themeTint="A6"/>
              </w:rPr>
              <w:t xml:space="preserve">Classification </w:t>
            </w:r>
          </w:p>
        </w:tc>
        <w:tc>
          <w:tcPr>
            <w:tcW w:w="5670" w:type="dxa"/>
            <w:tcBorders>
              <w:bottom w:val="none" w:sz="0" w:space="0" w:color="auto"/>
            </w:tcBorders>
          </w:tcPr>
          <w:p w14:paraId="67C2F6DA" w14:textId="77777777" w:rsidR="008D27DF" w:rsidRPr="00D5095D"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color w:val="595959" w:themeColor="text1" w:themeTint="A6"/>
              </w:rPr>
              <w:t>Description</w:t>
            </w:r>
          </w:p>
        </w:tc>
      </w:tr>
      <w:tr w:rsidR="008D27DF" w:rsidRPr="00D5095D"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D5095D" w:rsidRDefault="00A579EE" w:rsidP="0081091B">
            <w:pPr>
              <w:rPr>
                <w:b w:val="0"/>
                <w:bCs w:val="0"/>
                <w:color w:val="747474" w:themeColor="background2" w:themeShade="80"/>
              </w:rPr>
            </w:pPr>
            <w:r w:rsidRPr="00D5095D">
              <w:rPr>
                <w:color w:val="747474" w:themeColor="background2" w:themeShade="80"/>
              </w:rPr>
              <w:t>7</w:t>
            </w:r>
            <w:r w:rsidR="008D27DF" w:rsidRPr="00D5095D">
              <w:rPr>
                <w:color w:val="747474" w:themeColor="background2" w:themeShade="80"/>
              </w:rPr>
              <w:t>.1</w:t>
            </w:r>
          </w:p>
        </w:tc>
        <w:tc>
          <w:tcPr>
            <w:tcW w:w="2126" w:type="dxa"/>
            <w:tcBorders>
              <w:top w:val="none" w:sz="0" w:space="0" w:color="auto"/>
              <w:bottom w:val="none" w:sz="0" w:space="0" w:color="auto"/>
            </w:tcBorders>
          </w:tcPr>
          <w:p w14:paraId="6ABB7E5E" w14:textId="3A46C59C" w:rsidR="008D27DF" w:rsidRPr="00D5095D"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D5095D"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EAF97BE" w14:textId="4BBD5A87" w:rsidR="00E97376" w:rsidRDefault="00E97376"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Pr>
                <w:rStyle w:val="normaltextrun"/>
                <w:color w:val="000000"/>
                <w:shd w:val="clear" w:color="auto" w:fill="FFFFFF"/>
              </w:rPr>
              <w:t xml:space="preserve">According to Anda </w:t>
            </w:r>
            <w:r w:rsidRPr="008763FD">
              <w:t>Rožukalne</w:t>
            </w:r>
            <w:r>
              <w:t xml:space="preserve"> and the researchers behind the Latvian report from the Media Pluralism Monitor study</w:t>
            </w:r>
            <w:r w:rsidRPr="00E97376">
              <w:rPr>
                <w:rStyle w:val="normaltextrun"/>
                <w:color w:val="000000"/>
                <w:shd w:val="clear" w:color="auto" w:fill="FFFFFF"/>
              </w:rPr>
              <w:t xml:space="preserve"> ‘</w:t>
            </w:r>
            <w:r>
              <w:rPr>
                <w:rStyle w:val="normaltextrun"/>
                <w:color w:val="000000"/>
                <w:shd w:val="clear" w:color="auto" w:fill="FFFFFF"/>
              </w:rPr>
              <w:t>t</w:t>
            </w:r>
            <w:r w:rsidRPr="00E97376">
              <w:rPr>
                <w:rStyle w:val="normaltextrun"/>
                <w:color w:val="000000"/>
                <w:shd w:val="clear" w:color="auto" w:fill="FFFFFF"/>
              </w:rPr>
              <w:t>here are no laws and / or self-regulatory measures to strengthen the obligation of journalists and / or media outlets not to be influenced by commercial interests’ (</w:t>
            </w:r>
            <w:r w:rsidRPr="008763FD">
              <w:t>Rožukalne</w:t>
            </w:r>
            <w:r>
              <w:t>;</w:t>
            </w:r>
            <w:r w:rsidRPr="00E97376">
              <w:rPr>
                <w:rStyle w:val="normaltextrun"/>
                <w:color w:val="000000"/>
                <w:shd w:val="clear" w:color="auto" w:fill="FFFFFF"/>
              </w:rPr>
              <w:t xml:space="preserve"> MPM 2022: 14).</w:t>
            </w:r>
          </w:p>
          <w:p w14:paraId="5352B3F4" w14:textId="77777777" w:rsidR="00E97376" w:rsidRDefault="00E97376"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3140DF19" w14:textId="615D4CA8" w:rsidR="008D27DF" w:rsidRPr="00D5095D" w:rsidRDefault="00475121" w:rsidP="0081091B">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In the European Union, the Unfair Commercial Practices Directive (</w:t>
            </w:r>
            <w:hyperlink r:id="rId121"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and the Misleading and Comparative Advertising Directive (</w:t>
            </w:r>
            <w:hyperlink r:id="rId122" w:tgtFrame="_blank" w:history="1">
              <w:r w:rsidRPr="00D5095D">
                <w:rPr>
                  <w:rStyle w:val="normaltextrun"/>
                  <w:color w:val="0563C1"/>
                  <w:u w:val="single"/>
                  <w:shd w:val="clear" w:color="auto" w:fill="FFFFFF"/>
                </w:rPr>
                <w:t>Directive 2006/114/EC</w:t>
              </w:r>
            </w:hyperlink>
            <w:r w:rsidRPr="00D5095D">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D5095D">
              <w:rPr>
                <w:rStyle w:val="normaltextrun"/>
                <w:b/>
                <w:bCs/>
                <w:color w:val="000000"/>
                <w:shd w:val="clear" w:color="auto" w:fill="FFFFFF"/>
              </w:rPr>
              <w:t>6.1</w:t>
            </w:r>
            <w:r w:rsidRPr="00D5095D">
              <w:rPr>
                <w:rStyle w:val="normaltextrun"/>
                <w:color w:val="000000"/>
                <w:shd w:val="clear" w:color="auto" w:fill="FFFFFF"/>
              </w:rPr>
              <w:t>). The Unfair Commercial Practices Directive (</w:t>
            </w:r>
            <w:hyperlink r:id="rId123"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xml:space="preserve">) Annex I, 11, also specifically prohibits </w:t>
            </w:r>
            <w:r w:rsidRPr="00D5095D">
              <w:rPr>
                <w:rStyle w:val="normaltextrun"/>
                <w:color w:val="000000"/>
                <w:shd w:val="clear" w:color="auto" w:fill="FFFFFF"/>
              </w:rPr>
              <w:lastRenderedPageBreak/>
              <w:t>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D5095D">
              <w:rPr>
                <w:rStyle w:val="eop"/>
                <w:color w:val="000000"/>
                <w:shd w:val="clear" w:color="auto" w:fill="FFFFFF"/>
              </w:rPr>
              <w:t> </w:t>
            </w:r>
          </w:p>
        </w:tc>
      </w:tr>
      <w:tr w:rsidR="008D27DF" w:rsidRPr="00D5095D"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D5095D" w:rsidRDefault="00A579EE" w:rsidP="0081091B">
            <w:pPr>
              <w:rPr>
                <w:color w:val="3A3A3A" w:themeColor="background2" w:themeShade="40"/>
              </w:rPr>
            </w:pPr>
            <w:r w:rsidRPr="00D5095D">
              <w:rPr>
                <w:color w:val="747474" w:themeColor="background2" w:themeShade="80"/>
              </w:rPr>
              <w:lastRenderedPageBreak/>
              <w:t>7</w:t>
            </w:r>
            <w:r w:rsidR="008D27DF" w:rsidRPr="00D5095D">
              <w:rPr>
                <w:color w:val="747474" w:themeColor="background2" w:themeShade="80"/>
              </w:rPr>
              <w:t>.2</w:t>
            </w:r>
          </w:p>
        </w:tc>
        <w:tc>
          <w:tcPr>
            <w:tcW w:w="2126" w:type="dxa"/>
          </w:tcPr>
          <w:p w14:paraId="595C7D61" w14:textId="15A80CB3" w:rsidR="008D27DF" w:rsidRPr="00D5095D"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How is branded content described and ordered in governance?</w:t>
            </w:r>
          </w:p>
        </w:tc>
        <w:tc>
          <w:tcPr>
            <w:tcW w:w="2127" w:type="dxa"/>
          </w:tcPr>
          <w:p w14:paraId="4C42D2E5" w14:textId="77777777" w:rsidR="008D27DF" w:rsidRPr="00D5095D"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74353527" w:rsidR="008D27DF" w:rsidRPr="00D5095D" w:rsidRDefault="00475121" w:rsidP="0081091B">
            <w:pPr>
              <w:cnfStyle w:val="000000000000" w:firstRow="0" w:lastRow="0" w:firstColumn="0" w:lastColumn="0" w:oddVBand="0" w:evenVBand="0" w:oddHBand="0" w:evenHBand="0" w:firstRowFirstColumn="0" w:firstRowLastColumn="0" w:lastRowFirstColumn="0" w:lastRowLastColumn="0"/>
            </w:pPr>
            <w:r w:rsidRPr="00D5095D">
              <w:rPr>
                <w:rStyle w:val="normaltextrun"/>
                <w:color w:val="000000"/>
                <w:shd w:val="clear" w:color="auto" w:fill="FFFFFF"/>
              </w:rPr>
              <w:t>The Unfair Commercial Practices Directive (</w:t>
            </w:r>
            <w:hyperlink r:id="rId124"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classifies undisclosed commercial communication as a misleading omission, which is a prohibited practice. </w:t>
            </w:r>
            <w:r w:rsidRPr="00D5095D">
              <w:rPr>
                <w:rStyle w:val="eop"/>
                <w:color w:val="000000"/>
                <w:shd w:val="clear" w:color="auto" w:fill="FFFFFF"/>
              </w:rPr>
              <w:t> </w:t>
            </w:r>
          </w:p>
        </w:tc>
      </w:tr>
    </w:tbl>
    <w:p w14:paraId="3752E295" w14:textId="77777777" w:rsidR="00EE67D5" w:rsidRPr="00D5095D" w:rsidRDefault="00EE67D5" w:rsidP="00EE67D5">
      <w:pPr>
        <w:pStyle w:val="SectionHead"/>
        <w:rPr>
          <w:rFonts w:cs="Arial"/>
        </w:rPr>
      </w:pPr>
      <w:bookmarkStart w:id="11" w:name="_Toc170216095"/>
      <w:r w:rsidRPr="00D5095D">
        <w:rPr>
          <w:rFonts w:cs="Arial"/>
        </w:rPr>
        <w:t>Audiovisual</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D5095D"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D5095D" w:rsidRDefault="007B253B" w:rsidP="0081091B">
            <w:pPr>
              <w:pStyle w:val="Tableheadings"/>
              <w:spacing w:line="240" w:lineRule="auto"/>
              <w:rPr>
                <w:b/>
                <w:bCs/>
              </w:rPr>
            </w:pPr>
            <w:r w:rsidRPr="00D5095D">
              <w:rPr>
                <w:b/>
                <w:bCs/>
              </w:rPr>
              <w:t>Item</w:t>
            </w:r>
          </w:p>
        </w:tc>
        <w:tc>
          <w:tcPr>
            <w:tcW w:w="2126" w:type="dxa"/>
            <w:tcBorders>
              <w:bottom w:val="none" w:sz="0" w:space="0" w:color="auto"/>
            </w:tcBorders>
          </w:tcPr>
          <w:p w14:paraId="43CD5043" w14:textId="77777777" w:rsidR="007B253B" w:rsidRPr="00D5095D"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368CF348" w14:textId="77777777" w:rsidR="007B253B" w:rsidRPr="00D5095D"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70" w:type="dxa"/>
            <w:tcBorders>
              <w:bottom w:val="none" w:sz="0" w:space="0" w:color="auto"/>
            </w:tcBorders>
          </w:tcPr>
          <w:p w14:paraId="585DDBEF" w14:textId="77777777" w:rsidR="007B253B" w:rsidRPr="00D5095D"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7B253B" w:rsidRPr="00D5095D"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D5095D" w:rsidRDefault="00EE67D5" w:rsidP="0081091B">
            <w:pPr>
              <w:rPr>
                <w:b w:val="0"/>
                <w:bCs w:val="0"/>
                <w:color w:val="747474" w:themeColor="background2" w:themeShade="80"/>
              </w:rPr>
            </w:pPr>
            <w:r w:rsidRPr="00D5095D">
              <w:rPr>
                <w:color w:val="747474" w:themeColor="background2" w:themeShade="80"/>
              </w:rPr>
              <w:t>8</w:t>
            </w:r>
            <w:r w:rsidR="007B253B" w:rsidRPr="00D5095D">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D5095D"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Rules/governance arrangements across sectors</w:t>
            </w:r>
          </w:p>
        </w:tc>
        <w:tc>
          <w:tcPr>
            <w:tcW w:w="2127" w:type="dxa"/>
            <w:tcBorders>
              <w:top w:val="none" w:sz="0" w:space="0" w:color="auto"/>
              <w:bottom w:val="none" w:sz="0" w:space="0" w:color="auto"/>
            </w:tcBorders>
          </w:tcPr>
          <w:p w14:paraId="21A4A8B7" w14:textId="77777777" w:rsidR="007B253B" w:rsidRPr="00D5095D"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E93F09" w14:textId="3C8AC6DB" w:rsidR="00E97376" w:rsidRPr="00E97376" w:rsidRDefault="00475121" w:rsidP="00E97376">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D5095D">
              <w:rPr>
                <w:rStyle w:val="normaltextrun"/>
                <w:color w:val="000000"/>
                <w:shd w:val="clear" w:color="auto" w:fill="FFFFFF"/>
              </w:rPr>
              <w:t>In the European Union, the Unfair Commercial Practices Directive (</w:t>
            </w:r>
            <w:hyperlink r:id="rId125"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and the Misleading and Comparative Advertising Directive (</w:t>
            </w:r>
            <w:hyperlink r:id="rId126" w:tgtFrame="_blank" w:history="1">
              <w:r w:rsidRPr="00D5095D">
                <w:rPr>
                  <w:rStyle w:val="normaltextrun"/>
                  <w:color w:val="0563C1"/>
                  <w:u w:val="single"/>
                  <w:shd w:val="clear" w:color="auto" w:fill="FFFFFF"/>
                </w:rPr>
                <w:t>Directive 2006/114/EC</w:t>
              </w:r>
            </w:hyperlink>
            <w:r w:rsidRPr="00D5095D">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D5095D">
              <w:rPr>
                <w:rStyle w:val="normaltextrun"/>
                <w:b/>
                <w:bCs/>
                <w:color w:val="000000"/>
                <w:shd w:val="clear" w:color="auto" w:fill="FFFFFF"/>
              </w:rPr>
              <w:t>6.1</w:t>
            </w:r>
            <w:r w:rsidRPr="00D5095D">
              <w:rPr>
                <w:rStyle w:val="normaltextrun"/>
                <w:color w:val="000000"/>
                <w:shd w:val="clear" w:color="auto" w:fill="FFFFFF"/>
              </w:rPr>
              <w:t>). The Audiovisual Media Services Directive (</w:t>
            </w:r>
            <w:hyperlink r:id="rId127" w:tgtFrame="_blank" w:history="1">
              <w:r w:rsidRPr="00D5095D">
                <w:rPr>
                  <w:rStyle w:val="normaltextrun"/>
                  <w:color w:val="0563C1"/>
                  <w:u w:val="single"/>
                  <w:shd w:val="clear" w:color="auto" w:fill="FFFFFF"/>
                </w:rPr>
                <w:t>Directive 2018/1808</w:t>
              </w:r>
            </w:hyperlink>
            <w:r w:rsidRPr="00D5095D">
              <w:rPr>
                <w:rStyle w:val="normaltextrun"/>
                <w:color w:val="000000"/>
                <w:shd w:val="clear" w:color="auto" w:fill="FFFFFF"/>
              </w:rPr>
              <w:t>)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w:t>
            </w:r>
            <w:r w:rsidR="00E97376">
              <w:rPr>
                <w:rStyle w:val="normaltextrun"/>
                <w:color w:val="000000"/>
                <w:shd w:val="clear" w:color="auto" w:fill="FFFFFF"/>
              </w:rPr>
              <w:t xml:space="preserve"> Latvian</w:t>
            </w:r>
            <w:r w:rsidRPr="00D5095D">
              <w:rPr>
                <w:rStyle w:val="normaltextrun"/>
                <w:color w:val="FF0000"/>
                <w:shd w:val="clear" w:color="auto" w:fill="FFFFFF"/>
              </w:rPr>
              <w:t xml:space="preserve"> </w:t>
            </w:r>
            <w:r w:rsidRPr="00D5095D">
              <w:rPr>
                <w:rStyle w:val="normaltextrun"/>
                <w:color w:val="000000"/>
                <w:shd w:val="clear" w:color="auto" w:fill="FFFFFF"/>
              </w:rPr>
              <w:t>national law through</w:t>
            </w:r>
            <w:r w:rsidR="00E97376">
              <w:rPr>
                <w:rStyle w:val="normaltextrun"/>
                <w:color w:val="000000"/>
                <w:shd w:val="clear" w:color="auto" w:fill="FFFFFF"/>
              </w:rPr>
              <w:t xml:space="preserve"> amendments to the </w:t>
            </w:r>
            <w:hyperlink r:id="rId128" w:tgtFrame="_blank" w:history="1">
              <w:r w:rsidR="00E97376" w:rsidRPr="00E97376">
                <w:rPr>
                  <w:rStyle w:val="normaltextrun"/>
                  <w:color w:val="0563C1"/>
                  <w:u w:val="single"/>
                </w:rPr>
                <w:t>Electronic Mass Media Law 2010</w:t>
              </w:r>
            </w:hyperlink>
            <w:r w:rsidR="00E97376" w:rsidRPr="00E97376">
              <w:rPr>
                <w:rStyle w:val="normaltextrun"/>
              </w:rPr>
              <w:t xml:space="preserve"> (Elektronisko plašsaziņas līdzekļu likums), which entered into force in December 2020 (</w:t>
            </w:r>
            <w:hyperlink r:id="rId129" w:tgtFrame="_blank" w:history="1">
              <w:r w:rsidR="00E97376" w:rsidRPr="00E97376">
                <w:rPr>
                  <w:rStyle w:val="normaltextrun"/>
                  <w:color w:val="0563C1"/>
                  <w:u w:val="single"/>
                </w:rPr>
                <w:t>European Audiovisual Observatory 2023</w:t>
              </w:r>
            </w:hyperlink>
            <w:r w:rsidR="00E97376" w:rsidRPr="00E97376">
              <w:rPr>
                <w:rStyle w:val="normaltextrun"/>
              </w:rPr>
              <w:t>).</w:t>
            </w:r>
          </w:p>
        </w:tc>
      </w:tr>
      <w:tr w:rsidR="007B253B" w:rsidRPr="00D5095D"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D5095D" w:rsidRDefault="00EE67D5" w:rsidP="0081091B">
            <w:pPr>
              <w:rPr>
                <w:color w:val="3A3A3A" w:themeColor="background2" w:themeShade="40"/>
              </w:rPr>
            </w:pPr>
            <w:r w:rsidRPr="00D5095D">
              <w:rPr>
                <w:color w:val="747474" w:themeColor="background2" w:themeShade="80"/>
              </w:rPr>
              <w:t>8</w:t>
            </w:r>
            <w:r w:rsidR="007B253B" w:rsidRPr="00D5095D">
              <w:rPr>
                <w:color w:val="747474" w:themeColor="background2" w:themeShade="80"/>
              </w:rPr>
              <w:t>.2</w:t>
            </w:r>
          </w:p>
        </w:tc>
        <w:tc>
          <w:tcPr>
            <w:tcW w:w="2126" w:type="dxa"/>
          </w:tcPr>
          <w:p w14:paraId="38B1E9D7" w14:textId="45C50196" w:rsidR="007B253B" w:rsidRPr="00D5095D"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How is branded content described and ordered in governance?</w:t>
            </w:r>
          </w:p>
        </w:tc>
        <w:tc>
          <w:tcPr>
            <w:tcW w:w="2127" w:type="dxa"/>
          </w:tcPr>
          <w:p w14:paraId="1C649E5F" w14:textId="77777777" w:rsidR="007B253B" w:rsidRPr="00D5095D"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3DFFFEF" w14:textId="67214FE5" w:rsidR="007B253B" w:rsidRDefault="00475121"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D5095D">
              <w:rPr>
                <w:rStyle w:val="normaltextrun"/>
                <w:color w:val="000000"/>
                <w:shd w:val="clear" w:color="auto" w:fill="FFFFFF"/>
              </w:rPr>
              <w:t>The Unfair Commercial Practices Directive (</w:t>
            </w:r>
            <w:hyperlink r:id="rId130"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w:t>
            </w:r>
            <w:r w:rsidR="00E97376">
              <w:rPr>
                <w:rStyle w:val="normaltextrun"/>
                <w:color w:val="000000"/>
                <w:shd w:val="clear" w:color="auto" w:fill="FFFFFF"/>
              </w:rPr>
              <w:t xml:space="preserve"> implemented into Latvian national legislation through amendments to </w:t>
            </w:r>
            <w:hyperlink r:id="rId131" w:tgtFrame="_blank" w:history="1">
              <w:r w:rsidR="00E97376" w:rsidRPr="00E27C35">
                <w:rPr>
                  <w:rStyle w:val="normaltextrun"/>
                  <w:rFonts w:eastAsiaTheme="majorEastAsia"/>
                  <w:color w:val="0563C1"/>
                  <w:u w:val="single"/>
                  <w:shd w:val="clear" w:color="auto" w:fill="FFFFFF"/>
                </w:rPr>
                <w:t>The Advertising Law 2000</w:t>
              </w:r>
            </w:hyperlink>
            <w:r w:rsidR="00E97376" w:rsidRPr="00E27C35">
              <w:rPr>
                <w:rStyle w:val="normaltextrun"/>
                <w:rFonts w:eastAsiaTheme="majorEastAsia"/>
                <w:color w:val="000000"/>
                <w:shd w:val="clear" w:color="auto" w:fill="FFFFFF"/>
              </w:rPr>
              <w:t xml:space="preserve"> (Reklāmas likums)</w:t>
            </w:r>
            <w:r w:rsidR="00E97376">
              <w:rPr>
                <w:rStyle w:val="normaltextrun"/>
                <w:rFonts w:eastAsiaTheme="majorEastAsia"/>
                <w:color w:val="000000"/>
                <w:shd w:val="clear" w:color="auto" w:fill="FFFFFF"/>
              </w:rPr>
              <w:t xml:space="preserve">, last amended in 2016, </w:t>
            </w:r>
            <w:r w:rsidR="00E97376" w:rsidRPr="00E27C35">
              <w:rPr>
                <w:rStyle w:val="normaltextrun"/>
                <w:rFonts w:eastAsiaTheme="majorEastAsia"/>
                <w:color w:val="000000"/>
                <w:shd w:val="clear" w:color="auto" w:fill="FFFFFF"/>
              </w:rPr>
              <w:t xml:space="preserve">and </w:t>
            </w:r>
            <w:hyperlink r:id="rId132" w:tgtFrame="_blank" w:history="1">
              <w:r w:rsidR="00E97376" w:rsidRPr="00E27C35">
                <w:rPr>
                  <w:rStyle w:val="normaltextrun"/>
                  <w:rFonts w:eastAsiaTheme="majorEastAsia"/>
                  <w:color w:val="0563C1"/>
                  <w:u w:val="single"/>
                  <w:shd w:val="clear" w:color="auto" w:fill="FFFFFF"/>
                </w:rPr>
                <w:t>The Unfair Commercial Practices Prohibition Law 2008</w:t>
              </w:r>
            </w:hyperlink>
            <w:r w:rsidR="00E97376" w:rsidRPr="00E27C35">
              <w:rPr>
                <w:rStyle w:val="normaltextrun"/>
                <w:rFonts w:eastAsiaTheme="majorEastAsia"/>
                <w:color w:val="000000"/>
                <w:shd w:val="clear" w:color="auto" w:fill="FFFFFF"/>
              </w:rPr>
              <w:t xml:space="preserve"> (Negodīgas komercprakses aizlieguma likums</w:t>
            </w:r>
            <w:r w:rsidR="00E97376">
              <w:rPr>
                <w:rStyle w:val="normaltextrun"/>
                <w:rFonts w:eastAsiaTheme="majorEastAsia"/>
                <w:color w:val="000000"/>
                <w:shd w:val="clear" w:color="auto" w:fill="FFFFFF"/>
              </w:rPr>
              <w:t>)</w:t>
            </w:r>
            <w:r w:rsidR="00E97376">
              <w:rPr>
                <w:rFonts w:eastAsia="Times New Roman"/>
                <w:lang w:eastAsia="en-GB"/>
              </w:rPr>
              <w:t xml:space="preserve">, </w:t>
            </w:r>
            <w:hyperlink r:id="rId133" w:history="1">
              <w:r w:rsidR="00E97376" w:rsidRPr="007C0CD2">
                <w:rPr>
                  <w:rStyle w:val="Hyperlink"/>
                  <w:rFonts w:eastAsia="Times New Roman"/>
                  <w:lang w:eastAsia="en-GB"/>
                </w:rPr>
                <w:t>last amended in 2023</w:t>
              </w:r>
            </w:hyperlink>
            <w:r w:rsidR="00E97376">
              <w:rPr>
                <w:rFonts w:eastAsia="Times New Roman"/>
                <w:lang w:eastAsia="en-GB"/>
              </w:rPr>
              <w:t xml:space="preserve"> </w:t>
            </w:r>
            <w:r w:rsidRPr="00D5095D">
              <w:rPr>
                <w:rStyle w:val="normaltextrun"/>
                <w:color w:val="000000"/>
                <w:shd w:val="clear" w:color="auto" w:fill="FFFFFF"/>
              </w:rPr>
              <w:t xml:space="preserve">classifies undisclosed commercial communication as a </w:t>
            </w:r>
            <w:r w:rsidRPr="00D5095D">
              <w:rPr>
                <w:rStyle w:val="normaltextrun"/>
                <w:color w:val="000000"/>
                <w:shd w:val="clear" w:color="auto" w:fill="FFFFFF"/>
              </w:rPr>
              <w:lastRenderedPageBreak/>
              <w:t>misleading omission, which is a prohibited practice. The Audiovisual Media Services Directive (</w:t>
            </w:r>
            <w:hyperlink r:id="rId134" w:tgtFrame="_blank" w:history="1">
              <w:r w:rsidRPr="00D5095D">
                <w:rPr>
                  <w:rStyle w:val="normaltextrun"/>
                  <w:color w:val="0563C1"/>
                  <w:u w:val="single"/>
                  <w:shd w:val="clear" w:color="auto" w:fill="FFFFFF"/>
                </w:rPr>
                <w:t>Directive 2018/1808</w:t>
              </w:r>
            </w:hyperlink>
            <w:r w:rsidRPr="00D5095D">
              <w:rPr>
                <w:rStyle w:val="normaltextrun"/>
                <w:color w:val="000000"/>
                <w:shd w:val="clear" w:color="auto" w:fill="FFFFFF"/>
              </w:rPr>
              <w:t>)</w:t>
            </w:r>
            <w:r w:rsidR="00E97376">
              <w:rPr>
                <w:rStyle w:val="normaltextrun"/>
                <w:color w:val="000000"/>
                <w:shd w:val="clear" w:color="auto" w:fill="FFFFFF"/>
              </w:rPr>
              <w:t xml:space="preserve"> implemented through amendments to</w:t>
            </w:r>
            <w:r w:rsidRPr="00D5095D">
              <w:rPr>
                <w:rStyle w:val="normaltextrun"/>
                <w:color w:val="000000"/>
                <w:shd w:val="clear" w:color="auto" w:fill="FFFFFF"/>
              </w:rPr>
              <w:t xml:space="preserve"> </w:t>
            </w:r>
            <w:r w:rsidR="00E97376">
              <w:rPr>
                <w:rStyle w:val="normaltextrun"/>
                <w:color w:val="000000"/>
                <w:shd w:val="clear" w:color="auto" w:fill="FFFFFF"/>
              </w:rPr>
              <w:t xml:space="preserve">the </w:t>
            </w:r>
            <w:hyperlink r:id="rId135" w:tgtFrame="_blank" w:history="1">
              <w:r w:rsidR="00E97376" w:rsidRPr="00E97376">
                <w:rPr>
                  <w:rStyle w:val="normaltextrun"/>
                  <w:color w:val="0563C1"/>
                  <w:u w:val="single"/>
                </w:rPr>
                <w:t>Electronic Mass Media Law 2010</w:t>
              </w:r>
            </w:hyperlink>
            <w:r w:rsidR="00E97376" w:rsidRPr="00E97376">
              <w:rPr>
                <w:rStyle w:val="normaltextrun"/>
              </w:rPr>
              <w:t xml:space="preserve"> </w:t>
            </w:r>
            <w:r w:rsidRPr="00D5095D">
              <w:rPr>
                <w:rStyle w:val="normaltextrun"/>
                <w:color w:val="000000"/>
                <w:shd w:val="clear" w:color="auto" w:fill="FFFFFF"/>
              </w:rPr>
              <w:t xml:space="preserve">regulates audiovisual commercial communications, sponsorship and product placement. </w:t>
            </w:r>
          </w:p>
          <w:p w14:paraId="5C60F066" w14:textId="77777777" w:rsidR="00E97376" w:rsidRDefault="00E97376" w:rsidP="0081091B">
            <w:pPr>
              <w:cnfStyle w:val="000000000000" w:firstRow="0" w:lastRow="0" w:firstColumn="0" w:lastColumn="0" w:oddVBand="0" w:evenVBand="0" w:oddHBand="0" w:evenHBand="0" w:firstRowFirstColumn="0" w:firstRowLastColumn="0" w:lastRowFirstColumn="0" w:lastRowLastColumn="0"/>
            </w:pPr>
          </w:p>
          <w:p w14:paraId="5B1C5E01" w14:textId="0DF36687" w:rsidR="00E97376" w:rsidRPr="00D5095D" w:rsidRDefault="00E97376" w:rsidP="0081091B">
            <w:pPr>
              <w:cnfStyle w:val="000000000000" w:firstRow="0" w:lastRow="0" w:firstColumn="0" w:lastColumn="0" w:oddVBand="0" w:evenVBand="0" w:oddHBand="0" w:evenHBand="0" w:firstRowFirstColumn="0" w:firstRowLastColumn="0" w:lastRowFirstColumn="0" w:lastRowLastColumn="0"/>
            </w:pPr>
            <w:r>
              <w:t>*</w:t>
            </w:r>
          </w:p>
        </w:tc>
      </w:tr>
    </w:tbl>
    <w:p w14:paraId="241DEF5A" w14:textId="18CC227E" w:rsidR="009143BA" w:rsidRPr="00D5095D" w:rsidRDefault="009143BA" w:rsidP="009143BA">
      <w:pPr>
        <w:pStyle w:val="SectionHead"/>
        <w:rPr>
          <w:rFonts w:cs="Arial"/>
        </w:rPr>
      </w:pPr>
      <w:bookmarkStart w:id="12" w:name="_Toc170216096"/>
      <w:r w:rsidRPr="00D5095D">
        <w:rPr>
          <w:rFonts w:cs="Arial"/>
        </w:rPr>
        <w:lastRenderedPageBreak/>
        <w:t>Audio</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D5095D"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D5095D" w:rsidRDefault="009143BA" w:rsidP="0081091B">
            <w:pPr>
              <w:pStyle w:val="Tableheadings"/>
              <w:spacing w:line="240" w:lineRule="auto"/>
              <w:rPr>
                <w:b/>
                <w:bCs/>
              </w:rPr>
            </w:pPr>
            <w:r w:rsidRPr="00D5095D">
              <w:rPr>
                <w:b/>
                <w:bCs/>
              </w:rPr>
              <w:t>Item</w:t>
            </w:r>
          </w:p>
        </w:tc>
        <w:tc>
          <w:tcPr>
            <w:tcW w:w="2126" w:type="dxa"/>
            <w:tcBorders>
              <w:bottom w:val="none" w:sz="0" w:space="0" w:color="auto"/>
            </w:tcBorders>
          </w:tcPr>
          <w:p w14:paraId="21E32486" w14:textId="77777777" w:rsidR="009143BA" w:rsidRPr="00D5095D"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21FCDD95" w14:textId="77777777" w:rsidR="009143BA" w:rsidRPr="00D5095D"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70" w:type="dxa"/>
            <w:tcBorders>
              <w:bottom w:val="none" w:sz="0" w:space="0" w:color="auto"/>
            </w:tcBorders>
          </w:tcPr>
          <w:p w14:paraId="7CCD59BE" w14:textId="77777777" w:rsidR="009143BA" w:rsidRPr="00D5095D"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9143BA" w:rsidRPr="00D5095D"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D5095D" w:rsidRDefault="009143BA" w:rsidP="0081091B">
            <w:pPr>
              <w:rPr>
                <w:b w:val="0"/>
                <w:bCs w:val="0"/>
                <w:color w:val="747474" w:themeColor="background2" w:themeShade="80"/>
              </w:rPr>
            </w:pPr>
            <w:r w:rsidRPr="00D5095D">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D5095D"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D5095D"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5E7D167C" w:rsidR="009143BA" w:rsidRPr="00D5095D" w:rsidRDefault="00475121" w:rsidP="0081091B">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In the European Union, the Unfair Commercial Practices Directive (</w:t>
            </w:r>
            <w:hyperlink r:id="rId136"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and the Misleading and Comparative Advertising Directive (</w:t>
            </w:r>
            <w:hyperlink r:id="rId137" w:tgtFrame="_blank" w:history="1">
              <w:r w:rsidRPr="00D5095D">
                <w:rPr>
                  <w:rStyle w:val="normaltextrun"/>
                  <w:color w:val="0563C1"/>
                  <w:u w:val="single"/>
                  <w:shd w:val="clear" w:color="auto" w:fill="FFFFFF"/>
                </w:rPr>
                <w:t>Directive 2006/114/EC</w:t>
              </w:r>
            </w:hyperlink>
            <w:r w:rsidRPr="00D5095D">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D5095D">
              <w:rPr>
                <w:rStyle w:val="normaltextrun"/>
                <w:b/>
                <w:bCs/>
                <w:color w:val="000000"/>
                <w:shd w:val="clear" w:color="auto" w:fill="FFFFFF"/>
              </w:rPr>
              <w:t>6.1</w:t>
            </w:r>
            <w:r w:rsidRPr="00D5095D">
              <w:rPr>
                <w:rStyle w:val="normaltextrun"/>
                <w:color w:val="000000"/>
                <w:shd w:val="clear" w:color="auto" w:fill="FFFFFF"/>
              </w:rPr>
              <w:t>). The Unfair Commercial Practices Directive (</w:t>
            </w:r>
            <w:hyperlink r:id="rId138"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D5095D">
              <w:rPr>
                <w:rStyle w:val="eop"/>
                <w:color w:val="000000"/>
                <w:shd w:val="clear" w:color="auto" w:fill="FFFFFF"/>
              </w:rPr>
              <w:t> </w:t>
            </w:r>
          </w:p>
        </w:tc>
      </w:tr>
      <w:tr w:rsidR="009143BA" w:rsidRPr="00D5095D"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D5095D" w:rsidRDefault="009143BA" w:rsidP="0081091B">
            <w:pPr>
              <w:rPr>
                <w:color w:val="3A3A3A" w:themeColor="background2" w:themeShade="40"/>
              </w:rPr>
            </w:pPr>
            <w:r w:rsidRPr="00D5095D">
              <w:rPr>
                <w:color w:val="747474" w:themeColor="background2" w:themeShade="80"/>
              </w:rPr>
              <w:t>9.2</w:t>
            </w:r>
          </w:p>
        </w:tc>
        <w:tc>
          <w:tcPr>
            <w:tcW w:w="2126" w:type="dxa"/>
          </w:tcPr>
          <w:p w14:paraId="5D54A48D" w14:textId="2AB3502C" w:rsidR="009143BA" w:rsidRPr="00D5095D"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rPr>
                <w:sz w:val="21"/>
                <w:szCs w:val="21"/>
              </w:rPr>
              <w:t>How is branded content described and ordered in governance?</w:t>
            </w:r>
          </w:p>
        </w:tc>
        <w:tc>
          <w:tcPr>
            <w:tcW w:w="2127" w:type="dxa"/>
          </w:tcPr>
          <w:p w14:paraId="13399941" w14:textId="77777777" w:rsidR="009143BA" w:rsidRPr="00D5095D"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7777777" w:rsidR="009143BA" w:rsidRPr="00D5095D"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D5095D" w:rsidRDefault="00732CCD" w:rsidP="007D5857">
      <w:pPr>
        <w:pStyle w:val="SectionHead"/>
        <w:rPr>
          <w:rFonts w:cs="Arial"/>
        </w:rPr>
      </w:pPr>
      <w:bookmarkStart w:id="13" w:name="_Toc170216097"/>
      <w:r w:rsidRPr="00D5095D">
        <w:rPr>
          <w:rFonts w:cs="Arial"/>
        </w:rPr>
        <w:t>Digital Media (online advertising and adtech)</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D5095D" w14:paraId="2784C4B8" w14:textId="77777777" w:rsidTr="1D7FFA6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D5095D" w:rsidRDefault="003369C4" w:rsidP="0081091B">
            <w:pPr>
              <w:pStyle w:val="Tableheadings"/>
              <w:spacing w:line="240" w:lineRule="auto"/>
              <w:rPr>
                <w:b/>
                <w:bCs/>
              </w:rPr>
            </w:pPr>
            <w:r w:rsidRPr="00D5095D">
              <w:rPr>
                <w:b/>
                <w:bCs/>
              </w:rPr>
              <w:t>Item</w:t>
            </w:r>
          </w:p>
        </w:tc>
        <w:tc>
          <w:tcPr>
            <w:tcW w:w="2126" w:type="dxa"/>
            <w:tcBorders>
              <w:bottom w:val="none" w:sz="0" w:space="0" w:color="auto"/>
            </w:tcBorders>
          </w:tcPr>
          <w:p w14:paraId="6B731812" w14:textId="77777777" w:rsidR="003369C4" w:rsidRPr="00D5095D"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396F675F" w14:textId="77777777" w:rsidR="003369C4" w:rsidRPr="00D5095D"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70" w:type="dxa"/>
            <w:tcBorders>
              <w:bottom w:val="none" w:sz="0" w:space="0" w:color="auto"/>
            </w:tcBorders>
          </w:tcPr>
          <w:p w14:paraId="01DD72AB" w14:textId="77777777" w:rsidR="003369C4" w:rsidRPr="00D5095D"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3369C4" w:rsidRPr="00D5095D" w14:paraId="77F0DA15" w14:textId="77777777" w:rsidTr="1D7FFA6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D5095D" w:rsidRDefault="00340625" w:rsidP="0081091B">
            <w:pPr>
              <w:rPr>
                <w:b w:val="0"/>
                <w:bCs w:val="0"/>
                <w:color w:val="747474" w:themeColor="background2" w:themeShade="80"/>
              </w:rPr>
            </w:pPr>
            <w:r w:rsidRPr="00D5095D">
              <w:rPr>
                <w:color w:val="747474" w:themeColor="background2" w:themeShade="80"/>
              </w:rPr>
              <w:t>10</w:t>
            </w:r>
            <w:r w:rsidR="003369C4" w:rsidRPr="00D5095D">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D5095D"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D5095D"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77777777" w:rsidR="00475121" w:rsidRPr="00D5095D"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D5095D">
              <w:rPr>
                <w:rFonts w:eastAsia="Times New Roman"/>
                <w:color w:val="000000"/>
                <w:lang w:eastAsia="en-GB"/>
              </w:rPr>
              <w:t>In the European Union, the Unfair Commercial Practices Directive (</w:t>
            </w:r>
            <w:hyperlink r:id="rId139" w:tgtFrame="_blank" w:history="1">
              <w:r w:rsidRPr="00D5095D">
                <w:rPr>
                  <w:rFonts w:eastAsia="Times New Roman"/>
                  <w:color w:val="0563C1"/>
                  <w:u w:val="single"/>
                  <w:lang w:eastAsia="en-GB"/>
                </w:rPr>
                <w:t>Directive 2005/29/EC</w:t>
              </w:r>
            </w:hyperlink>
            <w:r w:rsidRPr="00D5095D">
              <w:rPr>
                <w:rFonts w:eastAsia="Times New Roman"/>
                <w:color w:val="000000"/>
                <w:lang w:eastAsia="en-GB"/>
              </w:rPr>
              <w:t>) and the Misleading and Comparative Advertising Directive (</w:t>
            </w:r>
            <w:hyperlink r:id="rId140" w:tgtFrame="_blank" w:history="1">
              <w:r w:rsidRPr="00D5095D">
                <w:rPr>
                  <w:rFonts w:eastAsia="Times New Roman"/>
                  <w:color w:val="0563C1"/>
                  <w:u w:val="single"/>
                  <w:lang w:eastAsia="en-GB"/>
                </w:rPr>
                <w:t>Directive 2006/114/EC</w:t>
              </w:r>
            </w:hyperlink>
            <w:r w:rsidRPr="00D5095D">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D5095D">
              <w:rPr>
                <w:rFonts w:eastAsia="Times New Roman"/>
                <w:b/>
                <w:bCs/>
                <w:color w:val="000000"/>
                <w:lang w:eastAsia="en-GB"/>
              </w:rPr>
              <w:t>6.1</w:t>
            </w:r>
            <w:r w:rsidRPr="00D5095D">
              <w:rPr>
                <w:rFonts w:eastAsia="Times New Roman"/>
                <w:color w:val="000000"/>
                <w:lang w:eastAsia="en-GB"/>
              </w:rPr>
              <w:t>). The Unfair Commercial Practices Directive (</w:t>
            </w:r>
            <w:hyperlink r:id="rId141" w:tgtFrame="_blank" w:history="1">
              <w:r w:rsidRPr="00D5095D">
                <w:rPr>
                  <w:rFonts w:eastAsia="Times New Roman"/>
                  <w:color w:val="0563C1"/>
                  <w:u w:val="single"/>
                  <w:lang w:eastAsia="en-GB"/>
                </w:rPr>
                <w:t xml:space="preserve">Directive </w:t>
              </w:r>
              <w:r w:rsidRPr="00D5095D">
                <w:rPr>
                  <w:rFonts w:eastAsia="Times New Roman"/>
                  <w:color w:val="0563C1"/>
                  <w:u w:val="single"/>
                  <w:lang w:eastAsia="en-GB"/>
                </w:rPr>
                <w:lastRenderedPageBreak/>
                <w:t>2005/29/EC</w:t>
              </w:r>
            </w:hyperlink>
            <w:r w:rsidRPr="00D5095D">
              <w:rPr>
                <w:rFonts w:eastAsia="Times New Roman"/>
                <w:color w:val="000000"/>
                <w:lang w:eastAsia="en-GB"/>
              </w:rPr>
              <w:t xml:space="preserve">) also includes commercial practices prohibited in all circumstances (‘blacklist’). The Amending </w:t>
            </w:r>
            <w:hyperlink r:id="rId142" w:tgtFrame="_blank" w:history="1">
              <w:r w:rsidRPr="00D5095D">
                <w:rPr>
                  <w:rFonts w:eastAsia="Times New Roman"/>
                  <w:color w:val="0563C1"/>
                  <w:u w:val="single"/>
                  <w:lang w:eastAsia="en-GB"/>
                </w:rPr>
                <w:t>Directive (EU) 2019/2161</w:t>
              </w:r>
            </w:hyperlink>
            <w:r w:rsidRPr="00D5095D">
              <w:rPr>
                <w:rFonts w:eastAsia="Times New Roman"/>
                <w:color w:val="000000"/>
                <w:lang w:eastAsia="en-GB"/>
              </w:rPr>
              <w:t xml:space="preserve"> (</w:t>
            </w:r>
            <w:hyperlink r:id="rId143" w:tgtFrame="_blank" w:history="1">
              <w:r w:rsidRPr="00D5095D">
                <w:rPr>
                  <w:rFonts w:eastAsia="Times New Roman"/>
                  <w:color w:val="0563C1"/>
                  <w:u w:val="single"/>
                  <w:lang w:eastAsia="en-GB"/>
                </w:rPr>
                <w:t>The Omnibus Directive</w:t>
              </w:r>
            </w:hyperlink>
            <w:r w:rsidRPr="00D5095D">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D5095D"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D5095D">
              <w:rPr>
                <w:rFonts w:eastAsia="Times New Roman"/>
                <w:color w:val="000000"/>
                <w:lang w:val="en-US" w:eastAsia="en-GB"/>
              </w:rPr>
              <w:t> </w:t>
            </w:r>
          </w:p>
          <w:p w14:paraId="4A59DCCB" w14:textId="01F34C96" w:rsidR="00475121" w:rsidRPr="00D5095D"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1D7FFA66">
              <w:rPr>
                <w:rFonts w:eastAsia="Times New Roman"/>
                <w:color w:val="000000" w:themeColor="text1"/>
                <w:lang w:eastAsia="en-GB"/>
              </w:rPr>
              <w:t>The Digital Services Act 2022</w:t>
            </w:r>
            <w:r w:rsidRPr="1D7FFA66">
              <w:rPr>
                <w:rFonts w:eastAsia="Times New Roman"/>
                <w:b/>
                <w:bCs/>
                <w:color w:val="000000" w:themeColor="text1"/>
                <w:lang w:eastAsia="en-GB"/>
              </w:rPr>
              <w:t xml:space="preserve"> </w:t>
            </w:r>
            <w:r w:rsidRPr="1D7FFA66">
              <w:rPr>
                <w:rFonts w:eastAsia="Times New Roman"/>
                <w:color w:val="000000" w:themeColor="text1"/>
                <w:lang w:eastAsia="en-GB"/>
              </w:rPr>
              <w:t xml:space="preserve">(the DSA, </w:t>
            </w:r>
            <w:hyperlink r:id="rId144">
              <w:r w:rsidRPr="1D7FFA66">
                <w:rPr>
                  <w:rFonts w:eastAsia="Times New Roman"/>
                  <w:color w:val="0563C1"/>
                  <w:u w:val="single"/>
                  <w:lang w:eastAsia="en-GB"/>
                </w:rPr>
                <w:t>EU Regulation 2022/2065</w:t>
              </w:r>
            </w:hyperlink>
            <w:r w:rsidRPr="1D7FFA66">
              <w:rPr>
                <w:rFonts w:eastAsia="Times New Roman"/>
                <w:color w:val="000000" w:themeColor="text1"/>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1D7FFA66">
              <w:rPr>
                <w:rFonts w:eastAsia="Times New Roman"/>
                <w:lang w:eastAsia="en-GB"/>
              </w:rPr>
              <w:t xml:space="preserve"> The EU Digital Services Act (</w:t>
            </w:r>
            <w:hyperlink r:id="rId145">
              <w:r w:rsidRPr="1D7FFA66">
                <w:rPr>
                  <w:rFonts w:eastAsia="Times New Roman"/>
                  <w:color w:val="0563C1"/>
                  <w:u w:val="single"/>
                  <w:lang w:eastAsia="en-GB"/>
                </w:rPr>
                <w:t>Digital Services Act, 2022</w:t>
              </w:r>
            </w:hyperlink>
            <w:r w:rsidRPr="1D7FFA66">
              <w:rPr>
                <w:rFonts w:eastAsia="Times New Roman"/>
                <w:lang w:eastAsia="en-GB"/>
              </w:rPr>
              <w:t>)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(Krempl, 2024; von Rimscha 2024: 8). T</w:t>
            </w:r>
            <w:r w:rsidRPr="1D7FFA66">
              <w:rPr>
                <w:rFonts w:eastAsia="Times New Roman"/>
                <w:color w:val="000000" w:themeColor="text1"/>
                <w:lang w:eastAsia="en-GB"/>
              </w:rPr>
              <w:t xml:space="preserve">he Digital Services Act </w:t>
            </w:r>
            <w:r w:rsidRPr="1D7FFA66">
              <w:rPr>
                <w:rFonts w:eastAsia="Times New Roman"/>
                <w:lang w:eastAsia="en-GB"/>
              </w:rPr>
              <w:t xml:space="preserve">(the DSA, </w:t>
            </w:r>
            <w:hyperlink r:id="rId146">
              <w:r w:rsidRPr="1D7FFA66">
                <w:rPr>
                  <w:rFonts w:eastAsia="Times New Roman"/>
                  <w:color w:val="0563C1"/>
                  <w:lang w:eastAsia="en-GB"/>
                </w:rPr>
                <w:t>EU Regulation 2022/2065</w:t>
              </w:r>
            </w:hyperlink>
            <w:r w:rsidRPr="1D7FFA66">
              <w:rPr>
                <w:rFonts w:eastAsia="Times New Roman"/>
                <w:lang w:eastAsia="en-GB"/>
              </w:rPr>
              <w:t>)</w:t>
            </w:r>
            <w:r w:rsidRPr="1D7FFA66">
              <w:rPr>
                <w:rFonts w:eastAsia="Times New Roman"/>
                <w:color w:val="000000" w:themeColor="text1"/>
                <w:lang w:eastAsia="en-GB"/>
              </w:rPr>
              <w:t>, t</w:t>
            </w:r>
            <w:r w:rsidRPr="1D7FFA66">
              <w:rPr>
                <w:rFonts w:eastAsia="Times New Roman"/>
                <w:lang w:eastAsia="en-GB"/>
              </w:rPr>
              <w:t xml:space="preserve">he General Data Protection Regulation (the GDPR, </w:t>
            </w:r>
            <w:hyperlink r:id="rId147">
              <w:r w:rsidRPr="1D7FFA66">
                <w:rPr>
                  <w:rFonts w:eastAsia="Times New Roman"/>
                  <w:color w:val="0563C1"/>
                  <w:lang w:eastAsia="en-GB"/>
                </w:rPr>
                <w:t>EU Regulation 2016/679</w:t>
              </w:r>
            </w:hyperlink>
            <w:r w:rsidRPr="1D7FFA66">
              <w:rPr>
                <w:rFonts w:eastAsia="Times New Roman"/>
                <w:lang w:eastAsia="en-GB"/>
              </w:rPr>
              <w:t xml:space="preserve">), the </w:t>
            </w:r>
            <w:r w:rsidRPr="1D7FFA66">
              <w:rPr>
                <w:rFonts w:eastAsia="Times New Roman"/>
                <w:color w:val="000000" w:themeColor="text1"/>
                <w:lang w:eastAsia="en-GB"/>
              </w:rPr>
              <w:t>Data Governance Act (</w:t>
            </w:r>
            <w:hyperlink r:id="rId148">
              <w:r w:rsidRPr="1D7FFA66">
                <w:rPr>
                  <w:rFonts w:eastAsia="Times New Roman"/>
                  <w:color w:val="0563C1"/>
                  <w:u w:val="single"/>
                  <w:lang w:eastAsia="en-GB"/>
                </w:rPr>
                <w:t>2022/868</w:t>
              </w:r>
            </w:hyperlink>
            <w:r w:rsidRPr="1D7FFA66">
              <w:rPr>
                <w:rFonts w:eastAsia="Times New Roman"/>
                <w:color w:val="000000" w:themeColor="text1"/>
                <w:lang w:eastAsia="en-GB"/>
              </w:rPr>
              <w:t xml:space="preserve">), </w:t>
            </w:r>
            <w:r w:rsidRPr="1D7FFA66">
              <w:rPr>
                <w:rFonts w:eastAsia="Times New Roman"/>
                <w:lang w:eastAsia="en-GB"/>
              </w:rPr>
              <w:t>are directly enforceable, and along with The ePrivacy Directive (</w:t>
            </w:r>
            <w:hyperlink r:id="rId149">
              <w:r w:rsidRPr="1D7FFA66">
                <w:rPr>
                  <w:rFonts w:eastAsia="Times New Roman"/>
                  <w:color w:val="0563C1"/>
                  <w:u w:val="single"/>
                  <w:lang w:eastAsia="en-GB"/>
                </w:rPr>
                <w:t>2009/136/EC</w:t>
              </w:r>
            </w:hyperlink>
            <w:r w:rsidRPr="1D7FFA66">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D5095D"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D5095D">
              <w:rPr>
                <w:rFonts w:eastAsia="Times New Roman"/>
                <w:lang w:eastAsia="en-GB"/>
              </w:rPr>
              <w:t> </w:t>
            </w:r>
          </w:p>
          <w:p w14:paraId="57BC9018" w14:textId="302A6DA9" w:rsidR="003369C4" w:rsidRPr="00D5095D"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D5095D">
              <w:rPr>
                <w:rFonts w:eastAsia="Times New Roman"/>
                <w:color w:val="000000"/>
                <w:lang w:eastAsia="en-GB"/>
              </w:rPr>
              <w:t>The eCommerce Directive (</w:t>
            </w:r>
            <w:hyperlink r:id="rId150" w:tgtFrame="_blank" w:history="1">
              <w:r w:rsidRPr="00D5095D">
                <w:rPr>
                  <w:rFonts w:eastAsia="Times New Roman"/>
                  <w:color w:val="0563C1"/>
                  <w:u w:val="single"/>
                  <w:lang w:eastAsia="en-GB"/>
                </w:rPr>
                <w:t>2000/31/EC</w:t>
              </w:r>
            </w:hyperlink>
            <w:r w:rsidRPr="00D5095D">
              <w:rPr>
                <w:rFonts w:eastAsia="Times New Roman"/>
                <w:color w:val="000000"/>
                <w:lang w:eastAsia="en-GB"/>
              </w:rPr>
              <w:t>) contains transparency and identification rules regulating online services. Article 6 states:</w:t>
            </w:r>
            <w:r w:rsidRPr="00D5095D">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w:t>
            </w:r>
            <w:r w:rsidRPr="00D5095D">
              <w:rPr>
                <w:rFonts w:eastAsia="Times New Roman"/>
                <w:i/>
                <w:iCs/>
                <w:color w:val="000000"/>
                <w:lang w:eastAsia="en-GB"/>
              </w:rPr>
              <w:lastRenderedPageBreak/>
              <w:t>communication shall be clearly identifiable as such; (b) the natural or legal person on whose behalf the commercial communication is made shall be clearly identifiable’.</w:t>
            </w:r>
            <w:r w:rsidRPr="00D5095D">
              <w:rPr>
                <w:rFonts w:eastAsia="Times New Roman"/>
                <w:color w:val="000000"/>
                <w:lang w:eastAsia="en-GB"/>
              </w:rPr>
              <w:t> </w:t>
            </w:r>
          </w:p>
        </w:tc>
      </w:tr>
      <w:tr w:rsidR="003369C4" w:rsidRPr="00D5095D" w14:paraId="7E0A71C6" w14:textId="77777777" w:rsidTr="1D7FFA6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D5095D" w:rsidRDefault="00340625" w:rsidP="0081091B">
            <w:pPr>
              <w:rPr>
                <w:color w:val="3A3A3A" w:themeColor="background2" w:themeShade="40"/>
              </w:rPr>
            </w:pPr>
            <w:r w:rsidRPr="00D5095D">
              <w:rPr>
                <w:color w:val="747474" w:themeColor="background2" w:themeShade="80"/>
              </w:rPr>
              <w:lastRenderedPageBreak/>
              <w:t>10</w:t>
            </w:r>
            <w:r w:rsidR="003369C4" w:rsidRPr="00D5095D">
              <w:rPr>
                <w:color w:val="747474" w:themeColor="background2" w:themeShade="80"/>
              </w:rPr>
              <w:t>.2</w:t>
            </w:r>
          </w:p>
        </w:tc>
        <w:tc>
          <w:tcPr>
            <w:tcW w:w="2126" w:type="dxa"/>
          </w:tcPr>
          <w:p w14:paraId="778FC3D1" w14:textId="0C57B7D3" w:rsidR="003369C4" w:rsidRPr="00D5095D"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How is branded content described and ordered in governance?</w:t>
            </w:r>
          </w:p>
        </w:tc>
        <w:tc>
          <w:tcPr>
            <w:tcW w:w="2127" w:type="dxa"/>
          </w:tcPr>
          <w:p w14:paraId="61582023" w14:textId="77777777" w:rsidR="003369C4" w:rsidRPr="00D5095D"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65BD31EC" w:rsidR="003369C4" w:rsidRPr="00D5095D" w:rsidRDefault="00475121" w:rsidP="0081091B">
            <w:pPr>
              <w:cnfStyle w:val="000000000000" w:firstRow="0" w:lastRow="0" w:firstColumn="0" w:lastColumn="0" w:oddVBand="0" w:evenVBand="0" w:oddHBand="0" w:evenHBand="0" w:firstRowFirstColumn="0" w:firstRowLastColumn="0" w:lastRowFirstColumn="0" w:lastRowLastColumn="0"/>
            </w:pPr>
            <w:r w:rsidRPr="00D5095D">
              <w:rPr>
                <w:rStyle w:val="normaltextrun"/>
                <w:color w:val="000000"/>
                <w:shd w:val="clear" w:color="auto" w:fill="FFFFFF"/>
              </w:rPr>
              <w:t>The Unfair Commercial Practices Directive (</w:t>
            </w:r>
            <w:hyperlink r:id="rId151"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classifies undisclosed commercial communication as a misleading omission, which is a prohibited practice.</w:t>
            </w:r>
            <w:r w:rsidRPr="00D5095D">
              <w:rPr>
                <w:rStyle w:val="eop"/>
                <w:color w:val="000000"/>
                <w:shd w:val="clear" w:color="auto" w:fill="FFFFFF"/>
              </w:rPr>
              <w:t> </w:t>
            </w:r>
          </w:p>
        </w:tc>
      </w:tr>
    </w:tbl>
    <w:p w14:paraId="7435A3C0" w14:textId="77777777" w:rsidR="009F40CC" w:rsidRPr="00D5095D" w:rsidRDefault="009F40CC" w:rsidP="009F40CC">
      <w:pPr>
        <w:pStyle w:val="SectionHead"/>
        <w:rPr>
          <w:rFonts w:cs="Arial"/>
          <w:iCs w:val="0"/>
        </w:rPr>
      </w:pPr>
      <w:bookmarkStart w:id="14" w:name="_Toc170216098"/>
      <w:r w:rsidRPr="00D5095D">
        <w:rPr>
          <w:rFonts w:cs="Arial"/>
          <w:iCs w:val="0"/>
        </w:rPr>
        <w:t>Social Media Marketing</w:t>
      </w:r>
      <w:bookmarkEnd w:id="14"/>
      <w:r w:rsidRPr="00D5095D">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D5095D" w14:paraId="4C1C6D24" w14:textId="77777777" w:rsidTr="1D7FFA66">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D5095D" w:rsidRDefault="00331514" w:rsidP="0081091B">
            <w:pPr>
              <w:pStyle w:val="Tableheadings"/>
              <w:spacing w:line="240" w:lineRule="auto"/>
              <w:rPr>
                <w:b/>
                <w:bCs/>
              </w:rPr>
            </w:pPr>
            <w:r w:rsidRPr="00D5095D">
              <w:rPr>
                <w:b/>
                <w:bCs/>
              </w:rPr>
              <w:t>Item</w:t>
            </w:r>
          </w:p>
        </w:tc>
        <w:tc>
          <w:tcPr>
            <w:tcW w:w="2126" w:type="dxa"/>
            <w:tcBorders>
              <w:bottom w:val="none" w:sz="0" w:space="0" w:color="auto"/>
            </w:tcBorders>
          </w:tcPr>
          <w:p w14:paraId="3CDE25AA" w14:textId="77777777" w:rsidR="00331514" w:rsidRPr="00D5095D"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3157C114" w14:textId="77777777" w:rsidR="00331514" w:rsidRPr="00D5095D"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70" w:type="dxa"/>
            <w:tcBorders>
              <w:bottom w:val="none" w:sz="0" w:space="0" w:color="auto"/>
            </w:tcBorders>
          </w:tcPr>
          <w:p w14:paraId="0E96D956" w14:textId="77777777" w:rsidR="00331514" w:rsidRPr="00D5095D"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331514" w:rsidRPr="00D5095D" w14:paraId="016DC593" w14:textId="77777777" w:rsidTr="1D7FFA6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D5095D" w:rsidRDefault="00331514" w:rsidP="0081091B">
            <w:pPr>
              <w:rPr>
                <w:b w:val="0"/>
                <w:bCs w:val="0"/>
                <w:color w:val="747474" w:themeColor="background2" w:themeShade="80"/>
              </w:rPr>
            </w:pPr>
            <w:r w:rsidRPr="00D5095D">
              <w:rPr>
                <w:color w:val="747474" w:themeColor="background2" w:themeShade="80"/>
              </w:rPr>
              <w:t>1</w:t>
            </w:r>
            <w:r w:rsidR="006E02D3" w:rsidRPr="00D5095D">
              <w:rPr>
                <w:color w:val="747474" w:themeColor="background2" w:themeShade="80"/>
              </w:rPr>
              <w:t>1</w:t>
            </w:r>
            <w:r w:rsidRPr="00D5095D">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D5095D"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D5095D"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3CF43ED" w14:textId="7744ADE2" w:rsidR="00331514" w:rsidRPr="00D5095D" w:rsidRDefault="00475121" w:rsidP="0081091B">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152" w:tgtFrame="_blank" w:history="1">
              <w:r w:rsidRPr="00D5095D">
                <w:rPr>
                  <w:rStyle w:val="normaltextrun"/>
                  <w:color w:val="0563C1"/>
                  <w:u w:val="single"/>
                  <w:shd w:val="clear" w:color="auto" w:fill="FFFFFF"/>
                </w:rPr>
                <w:t>European Commission 2024</w:t>
              </w:r>
            </w:hyperlink>
            <w:r w:rsidRPr="00D5095D">
              <w:rPr>
                <w:rStyle w:val="normaltextrun"/>
                <w:color w:val="000000"/>
                <w:shd w:val="clear" w:color="auto" w:fill="FFFFFF"/>
              </w:rPr>
              <w:t>). The Digital Services Act 2022</w:t>
            </w:r>
            <w:r w:rsidRPr="00D5095D">
              <w:rPr>
                <w:rStyle w:val="normaltextrun"/>
                <w:b/>
                <w:bCs/>
                <w:color w:val="000000"/>
                <w:shd w:val="clear" w:color="auto" w:fill="FFFFFF"/>
              </w:rPr>
              <w:t xml:space="preserve"> </w:t>
            </w:r>
            <w:r w:rsidRPr="00D5095D">
              <w:rPr>
                <w:rStyle w:val="normaltextrun"/>
                <w:color w:val="000000"/>
                <w:shd w:val="clear" w:color="auto" w:fill="FFFFFF"/>
              </w:rPr>
              <w:t xml:space="preserve">(the DSA, </w:t>
            </w:r>
            <w:hyperlink r:id="rId153" w:tgtFrame="_blank" w:history="1">
              <w:r w:rsidRPr="00D5095D">
                <w:rPr>
                  <w:rStyle w:val="normaltextrun"/>
                  <w:color w:val="0563C1"/>
                  <w:u w:val="single"/>
                  <w:shd w:val="clear" w:color="auto" w:fill="FFFFFF"/>
                </w:rPr>
                <w:t>EU Regulation 2022/2065</w:t>
              </w:r>
            </w:hyperlink>
            <w:r w:rsidRPr="00D5095D">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154"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xml:space="preserve">) including identifying themselves and their location (for more information, please see </w:t>
            </w:r>
            <w:r w:rsidRPr="00D5095D">
              <w:rPr>
                <w:rStyle w:val="normaltextrun"/>
                <w:b/>
                <w:bCs/>
                <w:color w:val="000000"/>
                <w:shd w:val="clear" w:color="auto" w:fill="FFFFFF"/>
              </w:rPr>
              <w:t>6.2</w:t>
            </w:r>
            <w:r w:rsidRPr="00D5095D">
              <w:rPr>
                <w:rStyle w:val="normaltextrun"/>
                <w:color w:val="000000"/>
                <w:shd w:val="clear" w:color="auto" w:fill="FFFFFF"/>
              </w:rPr>
              <w:t>). The Audiovisual Media Services Directive (</w:t>
            </w:r>
            <w:hyperlink r:id="rId155" w:tgtFrame="_blank" w:history="1">
              <w:r w:rsidRPr="00D5095D">
                <w:rPr>
                  <w:rStyle w:val="normaltextrun"/>
                  <w:color w:val="0563C1"/>
                  <w:u w:val="single"/>
                  <w:shd w:val="clear" w:color="auto" w:fill="FFFFFF"/>
                </w:rPr>
                <w:t>Directive 2018/1808</w:t>
              </w:r>
            </w:hyperlink>
            <w:r w:rsidRPr="00D5095D">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D5095D">
              <w:rPr>
                <w:rStyle w:val="normaltextrun"/>
                <w:b/>
                <w:bCs/>
                <w:color w:val="000000"/>
                <w:shd w:val="clear" w:color="auto" w:fill="FFFFFF"/>
              </w:rPr>
              <w:t>8.1</w:t>
            </w:r>
            <w:r w:rsidRPr="00D5095D">
              <w:rPr>
                <w:rStyle w:val="normaltextrun"/>
                <w:color w:val="000000"/>
                <w:shd w:val="clear" w:color="auto" w:fill="FFFFFF"/>
              </w:rPr>
              <w:t>) (</w:t>
            </w:r>
            <w:hyperlink r:id="rId156" w:anchor=":~:text=In%20addition%2C%20influencers%20who%20sell,into%20force%20in%20the%20EU." w:tgtFrame="_blank" w:history="1">
              <w:r w:rsidRPr="00D5095D">
                <w:rPr>
                  <w:rStyle w:val="normaltextrun"/>
                  <w:color w:val="0563C1"/>
                  <w:u w:val="single"/>
                  <w:shd w:val="clear" w:color="auto" w:fill="FFFFFF"/>
                </w:rPr>
                <w:t>Society for Computers and Law 2024</w:t>
              </w:r>
            </w:hyperlink>
            <w:r w:rsidRPr="00D5095D">
              <w:rPr>
                <w:rStyle w:val="normaltextrun"/>
                <w:color w:val="000000"/>
                <w:shd w:val="clear" w:color="auto" w:fill="FFFFFF"/>
              </w:rPr>
              <w:t>).</w:t>
            </w:r>
            <w:r w:rsidRPr="00D5095D">
              <w:rPr>
                <w:rStyle w:val="eop"/>
                <w:color w:val="000000"/>
                <w:shd w:val="clear" w:color="auto" w:fill="FFFFFF"/>
              </w:rPr>
              <w:t> </w:t>
            </w:r>
          </w:p>
        </w:tc>
      </w:tr>
      <w:tr w:rsidR="00331514" w:rsidRPr="00D5095D" w14:paraId="393CD97A" w14:textId="77777777" w:rsidTr="1D7FFA6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D5095D" w:rsidRDefault="00331514" w:rsidP="0081091B">
            <w:pPr>
              <w:rPr>
                <w:color w:val="3A3A3A" w:themeColor="background2" w:themeShade="40"/>
              </w:rPr>
            </w:pPr>
            <w:r w:rsidRPr="00D5095D">
              <w:rPr>
                <w:color w:val="747474" w:themeColor="background2" w:themeShade="80"/>
              </w:rPr>
              <w:t>1</w:t>
            </w:r>
            <w:r w:rsidR="006E02D3" w:rsidRPr="00D5095D">
              <w:rPr>
                <w:color w:val="747474" w:themeColor="background2" w:themeShade="80"/>
              </w:rPr>
              <w:t>1</w:t>
            </w:r>
            <w:r w:rsidRPr="00D5095D">
              <w:rPr>
                <w:color w:val="747474" w:themeColor="background2" w:themeShade="80"/>
              </w:rPr>
              <w:t>.2</w:t>
            </w:r>
          </w:p>
        </w:tc>
        <w:tc>
          <w:tcPr>
            <w:tcW w:w="2126" w:type="dxa"/>
          </w:tcPr>
          <w:p w14:paraId="43ACA10A" w14:textId="011FC28B" w:rsidR="00331514" w:rsidRPr="00D5095D"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How is branded content described and ordered in governance?</w:t>
            </w:r>
          </w:p>
        </w:tc>
        <w:tc>
          <w:tcPr>
            <w:tcW w:w="2127" w:type="dxa"/>
          </w:tcPr>
          <w:p w14:paraId="50AADCEA" w14:textId="77777777" w:rsidR="00331514" w:rsidRPr="00D5095D"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7C4D8962" w:rsidR="00331514" w:rsidRPr="00130DE6" w:rsidRDefault="00130DE6" w:rsidP="0081091B">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D5095D">
              <w:rPr>
                <w:rStyle w:val="normaltextrun"/>
                <w:color w:val="000000"/>
                <w:shd w:val="clear" w:color="auto" w:fill="FFFFFF"/>
              </w:rPr>
              <w:t>The Unfair Commercial Practices Directive (</w:t>
            </w:r>
            <w:hyperlink r:id="rId157"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w:t>
            </w:r>
            <w:r>
              <w:rPr>
                <w:rStyle w:val="normaltextrun"/>
                <w:color w:val="000000"/>
                <w:shd w:val="clear" w:color="auto" w:fill="FFFFFF"/>
              </w:rPr>
              <w:t xml:space="preserve"> implemented into Latvian national legislation through amendments to </w:t>
            </w:r>
            <w:hyperlink r:id="rId158" w:tgtFrame="_blank" w:history="1">
              <w:r w:rsidRPr="00E27C35">
                <w:rPr>
                  <w:rStyle w:val="normaltextrun"/>
                  <w:rFonts w:eastAsiaTheme="majorEastAsia"/>
                  <w:color w:val="0563C1"/>
                  <w:u w:val="single"/>
                  <w:shd w:val="clear" w:color="auto" w:fill="FFFFFF"/>
                </w:rPr>
                <w:t>The Advertising Law 2000</w:t>
              </w:r>
            </w:hyperlink>
            <w:r w:rsidRPr="00E27C35">
              <w:rPr>
                <w:rStyle w:val="normaltextrun"/>
                <w:rFonts w:eastAsiaTheme="majorEastAsia"/>
                <w:color w:val="000000"/>
                <w:shd w:val="clear" w:color="auto" w:fill="FFFFFF"/>
              </w:rPr>
              <w:t xml:space="preserve"> (Reklāmas likums)</w:t>
            </w:r>
            <w:r>
              <w:rPr>
                <w:rStyle w:val="normaltextrun"/>
                <w:rFonts w:eastAsiaTheme="majorEastAsia"/>
                <w:color w:val="000000"/>
                <w:shd w:val="clear" w:color="auto" w:fill="FFFFFF"/>
              </w:rPr>
              <w:t xml:space="preserve">, last amended in 2016, </w:t>
            </w:r>
            <w:r w:rsidRPr="00E27C35">
              <w:rPr>
                <w:rStyle w:val="normaltextrun"/>
                <w:rFonts w:eastAsiaTheme="majorEastAsia"/>
                <w:color w:val="000000"/>
                <w:shd w:val="clear" w:color="auto" w:fill="FFFFFF"/>
              </w:rPr>
              <w:t xml:space="preserve">and </w:t>
            </w:r>
            <w:hyperlink r:id="rId159" w:tgtFrame="_blank" w:history="1">
              <w:r w:rsidRPr="00E27C35">
                <w:rPr>
                  <w:rStyle w:val="normaltextrun"/>
                  <w:rFonts w:eastAsiaTheme="majorEastAsia"/>
                  <w:color w:val="0563C1"/>
                  <w:u w:val="single"/>
                  <w:shd w:val="clear" w:color="auto" w:fill="FFFFFF"/>
                </w:rPr>
                <w:t>The Unfair Commercial Practices Prohibition Law 2008</w:t>
              </w:r>
            </w:hyperlink>
            <w:r w:rsidRPr="00E27C35">
              <w:rPr>
                <w:rStyle w:val="normaltextrun"/>
                <w:rFonts w:eastAsiaTheme="majorEastAsia"/>
                <w:color w:val="000000"/>
                <w:shd w:val="clear" w:color="auto" w:fill="FFFFFF"/>
              </w:rPr>
              <w:t xml:space="preserve"> (Negodīgas komercprakses aizlieguma likums</w:t>
            </w:r>
            <w:r>
              <w:rPr>
                <w:rStyle w:val="normaltextrun"/>
                <w:rFonts w:eastAsiaTheme="majorEastAsia"/>
                <w:color w:val="000000"/>
                <w:shd w:val="clear" w:color="auto" w:fill="FFFFFF"/>
              </w:rPr>
              <w:t>)</w:t>
            </w:r>
            <w:r>
              <w:rPr>
                <w:rFonts w:eastAsia="Times New Roman"/>
                <w:lang w:eastAsia="en-GB"/>
              </w:rPr>
              <w:t xml:space="preserve">, </w:t>
            </w:r>
            <w:hyperlink r:id="rId160" w:history="1">
              <w:r w:rsidRPr="007C0CD2">
                <w:rPr>
                  <w:rStyle w:val="Hyperlink"/>
                  <w:rFonts w:eastAsia="Times New Roman"/>
                  <w:lang w:eastAsia="en-GB"/>
                </w:rPr>
                <w:t>last amended in 2023</w:t>
              </w:r>
            </w:hyperlink>
            <w:r>
              <w:rPr>
                <w:rFonts w:eastAsia="Times New Roman"/>
                <w:lang w:eastAsia="en-GB"/>
              </w:rPr>
              <w:t xml:space="preserve"> </w:t>
            </w:r>
            <w:r w:rsidRPr="00D5095D">
              <w:rPr>
                <w:rStyle w:val="normaltextrun"/>
                <w:color w:val="000000"/>
                <w:shd w:val="clear" w:color="auto" w:fill="FFFFFF"/>
              </w:rPr>
              <w:t>classifies undisclosed commercial communication as a misleading omission, which is a prohibited practice. The Audiovisual Media Services Directive (</w:t>
            </w:r>
            <w:hyperlink r:id="rId161" w:tgtFrame="_blank" w:history="1">
              <w:r w:rsidRPr="00D5095D">
                <w:rPr>
                  <w:rStyle w:val="normaltextrun"/>
                  <w:color w:val="0563C1"/>
                  <w:u w:val="single"/>
                  <w:shd w:val="clear" w:color="auto" w:fill="FFFFFF"/>
                </w:rPr>
                <w:t>Directive 2018/1808</w:t>
              </w:r>
            </w:hyperlink>
            <w:r w:rsidRPr="00D5095D">
              <w:rPr>
                <w:rStyle w:val="normaltextrun"/>
                <w:color w:val="000000"/>
                <w:shd w:val="clear" w:color="auto" w:fill="FFFFFF"/>
              </w:rPr>
              <w:t>)</w:t>
            </w:r>
            <w:r>
              <w:rPr>
                <w:rStyle w:val="normaltextrun"/>
                <w:color w:val="000000"/>
                <w:shd w:val="clear" w:color="auto" w:fill="FFFFFF"/>
              </w:rPr>
              <w:t xml:space="preserve"> implemented through amendments to</w:t>
            </w:r>
            <w:r w:rsidRPr="00D5095D">
              <w:rPr>
                <w:rStyle w:val="normaltextrun"/>
                <w:color w:val="000000"/>
                <w:shd w:val="clear" w:color="auto" w:fill="FFFFFF"/>
              </w:rPr>
              <w:t xml:space="preserve"> </w:t>
            </w:r>
            <w:r>
              <w:rPr>
                <w:rStyle w:val="normaltextrun"/>
                <w:color w:val="000000"/>
                <w:shd w:val="clear" w:color="auto" w:fill="FFFFFF"/>
              </w:rPr>
              <w:t xml:space="preserve">the </w:t>
            </w:r>
            <w:hyperlink r:id="rId162" w:tgtFrame="_blank" w:history="1">
              <w:r w:rsidRPr="00E97376">
                <w:rPr>
                  <w:rStyle w:val="normaltextrun"/>
                  <w:color w:val="0563C1"/>
                  <w:u w:val="single"/>
                </w:rPr>
                <w:t>Electronic Mass Media Law 2010</w:t>
              </w:r>
            </w:hyperlink>
            <w:r w:rsidRPr="00E97376">
              <w:rPr>
                <w:rStyle w:val="normaltextrun"/>
              </w:rPr>
              <w:t xml:space="preserve"> </w:t>
            </w:r>
            <w:r w:rsidRPr="00D5095D">
              <w:rPr>
                <w:rStyle w:val="normaltextrun"/>
                <w:color w:val="000000"/>
                <w:shd w:val="clear" w:color="auto" w:fill="FFFFFF"/>
              </w:rPr>
              <w:t xml:space="preserve">regulates audiovisual commercial communications, sponsorship and product placement. </w:t>
            </w:r>
          </w:p>
        </w:tc>
      </w:tr>
      <w:tr w:rsidR="00E12F95" w:rsidRPr="00D5095D" w14:paraId="750A6405" w14:textId="77777777" w:rsidTr="1D7FFA6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D5095D" w:rsidRDefault="00E12F95" w:rsidP="0081091B">
            <w:pPr>
              <w:rPr>
                <w:color w:val="747474" w:themeColor="background2" w:themeShade="80"/>
              </w:rPr>
            </w:pPr>
            <w:r w:rsidRPr="00D5095D">
              <w:rPr>
                <w:color w:val="747474" w:themeColor="background2" w:themeShade="80"/>
              </w:rPr>
              <w:lastRenderedPageBreak/>
              <w:t>11.3</w:t>
            </w:r>
          </w:p>
        </w:tc>
        <w:tc>
          <w:tcPr>
            <w:tcW w:w="2126" w:type="dxa"/>
          </w:tcPr>
          <w:p w14:paraId="77267AD2" w14:textId="14E350A5" w:rsidR="00E12F95" w:rsidRPr="00D5095D"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Are there any special rules governing the use of social media for advertising purposes?</w:t>
            </w:r>
          </w:p>
        </w:tc>
        <w:tc>
          <w:tcPr>
            <w:tcW w:w="2127" w:type="dxa"/>
          </w:tcPr>
          <w:p w14:paraId="1A42CFBD" w14:textId="77777777" w:rsidR="00E12F95" w:rsidRPr="00D5095D"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7758F28E" w:rsidR="00E12F95" w:rsidRPr="00D5095D" w:rsidRDefault="61D08E5D" w:rsidP="0081091B">
            <w:pPr>
              <w:cnfStyle w:val="000000100000" w:firstRow="0" w:lastRow="0" w:firstColumn="0" w:lastColumn="0" w:oddVBand="0" w:evenVBand="0" w:oddHBand="1" w:evenHBand="0" w:firstRowFirstColumn="0" w:firstRowLastColumn="0" w:lastRowFirstColumn="0" w:lastRowLastColumn="0"/>
            </w:pPr>
            <w:r>
              <w:t>*</w:t>
            </w:r>
          </w:p>
        </w:tc>
      </w:tr>
      <w:tr w:rsidR="00E12F95" w:rsidRPr="00D5095D" w14:paraId="41DB7A4D" w14:textId="77777777" w:rsidTr="1D7FFA66">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D5095D" w:rsidRDefault="00E12F95" w:rsidP="0081091B">
            <w:pPr>
              <w:rPr>
                <w:color w:val="747474" w:themeColor="background2" w:themeShade="80"/>
              </w:rPr>
            </w:pPr>
            <w:r w:rsidRPr="00D5095D">
              <w:rPr>
                <w:color w:val="747474" w:themeColor="background2" w:themeShade="80"/>
              </w:rPr>
              <w:t>11.4</w:t>
            </w:r>
          </w:p>
        </w:tc>
        <w:tc>
          <w:tcPr>
            <w:tcW w:w="2126" w:type="dxa"/>
          </w:tcPr>
          <w:p w14:paraId="6B0B5846" w14:textId="0EA2B338" w:rsidR="00E12F95" w:rsidRPr="00D5095D"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Is an advertiser responsible for advertising claims made in user generated content?</w:t>
            </w:r>
          </w:p>
        </w:tc>
        <w:tc>
          <w:tcPr>
            <w:tcW w:w="2127" w:type="dxa"/>
          </w:tcPr>
          <w:p w14:paraId="2D465AA9" w14:textId="77777777" w:rsidR="00E12F95" w:rsidRPr="00D5095D"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731E8E45" w:rsidR="00E12F95" w:rsidRPr="00D5095D" w:rsidRDefault="00475121" w:rsidP="0081091B">
            <w:pPr>
              <w:cnfStyle w:val="000000000000" w:firstRow="0" w:lastRow="0" w:firstColumn="0" w:lastColumn="0" w:oddVBand="0" w:evenVBand="0" w:oddHBand="0" w:evenHBand="0" w:firstRowFirstColumn="0" w:firstRowLastColumn="0" w:lastRowFirstColumn="0" w:lastRowLastColumn="0"/>
            </w:pPr>
            <w:r w:rsidRPr="00D5095D">
              <w:rPr>
                <w:rStyle w:val="normaltextrun"/>
                <w:color w:val="000000"/>
                <w:shd w:val="clear" w:color="auto" w:fill="FFFFFF"/>
              </w:rPr>
              <w:t>The eCommerce Directive (</w:t>
            </w:r>
            <w:hyperlink r:id="rId163" w:tgtFrame="_blank" w:history="1">
              <w:r w:rsidRPr="00D5095D">
                <w:rPr>
                  <w:rStyle w:val="normaltextrun"/>
                  <w:color w:val="0563C1"/>
                  <w:u w:val="single"/>
                  <w:shd w:val="clear" w:color="auto" w:fill="FFFFFF"/>
                </w:rPr>
                <w:t>2000/31/EC</w:t>
              </w:r>
            </w:hyperlink>
            <w:r w:rsidRPr="00D5095D">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hyperlink r:id="rId164" w:tgtFrame="_blank" w:history="1">
              <w:r w:rsidRPr="00D5095D">
                <w:rPr>
                  <w:rStyle w:val="normaltextrun"/>
                  <w:color w:val="0563C1"/>
                  <w:u w:val="single"/>
                  <w:shd w:val="clear" w:color="auto" w:fill="FFFFFF"/>
                </w:rPr>
                <w:t>DataGuidance 2023</w:t>
              </w:r>
            </w:hyperlink>
            <w:r w:rsidRPr="00D5095D">
              <w:rPr>
                <w:rStyle w:val="normaltextrun"/>
                <w:color w:val="000000"/>
                <w:shd w:val="clear" w:color="auto" w:fill="FFFFFF"/>
              </w:rPr>
              <w:t>).</w:t>
            </w:r>
            <w:r w:rsidRPr="00D5095D">
              <w:rPr>
                <w:rStyle w:val="eop"/>
                <w:color w:val="000000"/>
                <w:shd w:val="clear" w:color="auto" w:fill="FFFFFF"/>
              </w:rPr>
              <w:t> </w:t>
            </w:r>
          </w:p>
        </w:tc>
      </w:tr>
      <w:tr w:rsidR="00E12F95" w:rsidRPr="00D5095D" w14:paraId="6750F02A" w14:textId="77777777" w:rsidTr="1D7FFA66">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D5095D" w:rsidRDefault="00E12F95" w:rsidP="0081091B">
            <w:pPr>
              <w:rPr>
                <w:color w:val="747474" w:themeColor="background2" w:themeShade="80"/>
              </w:rPr>
            </w:pPr>
            <w:r w:rsidRPr="00D5095D">
              <w:rPr>
                <w:color w:val="747474" w:themeColor="background2" w:themeShade="80"/>
              </w:rPr>
              <w:t>11.5</w:t>
            </w:r>
          </w:p>
        </w:tc>
        <w:tc>
          <w:tcPr>
            <w:tcW w:w="2126" w:type="dxa"/>
          </w:tcPr>
          <w:p w14:paraId="783C616A" w14:textId="74035EE6" w:rsidR="00E12F95" w:rsidRPr="00D5095D"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Are there any key court or self-regulatory decisions regarding the use of social media and user generated content for marketing communications?</w:t>
            </w:r>
          </w:p>
        </w:tc>
        <w:tc>
          <w:tcPr>
            <w:tcW w:w="2127" w:type="dxa"/>
          </w:tcPr>
          <w:p w14:paraId="3F7226FB" w14:textId="77777777" w:rsidR="00E12F95" w:rsidRPr="00D5095D"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14DE6250" w:rsidR="00E12F95" w:rsidRPr="00D5095D" w:rsidRDefault="44ED3065" w:rsidP="0081091B">
            <w:pPr>
              <w:cnfStyle w:val="000000100000" w:firstRow="0" w:lastRow="0" w:firstColumn="0" w:lastColumn="0" w:oddVBand="0" w:evenVBand="0" w:oddHBand="1" w:evenHBand="0" w:firstRowFirstColumn="0" w:firstRowLastColumn="0" w:lastRowFirstColumn="0" w:lastRowLastColumn="0"/>
            </w:pPr>
            <w:r>
              <w:t>*</w:t>
            </w:r>
          </w:p>
        </w:tc>
      </w:tr>
    </w:tbl>
    <w:p w14:paraId="3A9CAB14" w14:textId="756A5F8C" w:rsidR="00AD163A" w:rsidRPr="00D5095D" w:rsidRDefault="003A2DAE" w:rsidP="00AD163A">
      <w:pPr>
        <w:pStyle w:val="SectionHead"/>
        <w:rPr>
          <w:rFonts w:cs="Arial"/>
          <w:iCs w:val="0"/>
        </w:rPr>
      </w:pPr>
      <w:bookmarkStart w:id="15" w:name="_Toc170216099"/>
      <w:r w:rsidRPr="00D5095D">
        <w:rPr>
          <w:rFonts w:cs="Arial"/>
          <w:iCs w:val="0"/>
        </w:rPr>
        <w:t>Outdoor</w:t>
      </w:r>
      <w:bookmarkEnd w:id="15"/>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D5095D"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D5095D" w:rsidRDefault="00AD163A" w:rsidP="0081091B">
            <w:pPr>
              <w:pStyle w:val="Tableheadings"/>
              <w:spacing w:line="240" w:lineRule="auto"/>
              <w:rPr>
                <w:b/>
                <w:bCs/>
              </w:rPr>
            </w:pPr>
            <w:r w:rsidRPr="00D5095D">
              <w:rPr>
                <w:b/>
                <w:bCs/>
              </w:rPr>
              <w:t>Item</w:t>
            </w:r>
          </w:p>
        </w:tc>
        <w:tc>
          <w:tcPr>
            <w:tcW w:w="2126" w:type="dxa"/>
            <w:tcBorders>
              <w:bottom w:val="none" w:sz="0" w:space="0" w:color="auto"/>
            </w:tcBorders>
          </w:tcPr>
          <w:p w14:paraId="0FEDA29A" w14:textId="77777777" w:rsidR="00AD163A" w:rsidRPr="00D5095D"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2A83AD1D" w14:textId="77777777" w:rsidR="00AD163A" w:rsidRPr="00D5095D"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70" w:type="dxa"/>
            <w:tcBorders>
              <w:bottom w:val="none" w:sz="0" w:space="0" w:color="auto"/>
            </w:tcBorders>
          </w:tcPr>
          <w:p w14:paraId="1894E9BC" w14:textId="77777777" w:rsidR="00AD163A" w:rsidRPr="00D5095D"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AD163A" w:rsidRPr="00D5095D"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D5095D" w:rsidRDefault="00AD163A" w:rsidP="0081091B">
            <w:pPr>
              <w:rPr>
                <w:b w:val="0"/>
                <w:bCs w:val="0"/>
                <w:color w:val="747474" w:themeColor="background2" w:themeShade="80"/>
              </w:rPr>
            </w:pPr>
            <w:r w:rsidRPr="00D5095D">
              <w:rPr>
                <w:color w:val="747474" w:themeColor="background2" w:themeShade="80"/>
              </w:rPr>
              <w:t>1</w:t>
            </w:r>
            <w:r w:rsidR="00C43C89" w:rsidRPr="00D5095D">
              <w:rPr>
                <w:color w:val="747474" w:themeColor="background2" w:themeShade="80"/>
              </w:rPr>
              <w:t>2</w:t>
            </w:r>
            <w:r w:rsidRPr="00D5095D">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D5095D"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D5095D"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8F7C141" w:rsidR="00AD163A" w:rsidRPr="00D5095D" w:rsidRDefault="00475121" w:rsidP="0081091B">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In the European Union, the Unfair Commercial Practices Directive (</w:t>
            </w:r>
            <w:hyperlink r:id="rId165"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and the Misleading and Comparative Advertising Directive (</w:t>
            </w:r>
            <w:hyperlink r:id="rId166" w:tgtFrame="_blank" w:history="1">
              <w:r w:rsidRPr="00D5095D">
                <w:rPr>
                  <w:rStyle w:val="normaltextrun"/>
                  <w:color w:val="0563C1"/>
                  <w:u w:val="single"/>
                  <w:shd w:val="clear" w:color="auto" w:fill="FFFFFF"/>
                </w:rPr>
                <w:t>Directive 2006/114/EC</w:t>
              </w:r>
            </w:hyperlink>
            <w:r w:rsidRPr="00D5095D">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D5095D">
              <w:rPr>
                <w:rStyle w:val="normaltextrun"/>
                <w:b/>
                <w:bCs/>
                <w:color w:val="000000"/>
                <w:shd w:val="clear" w:color="auto" w:fill="FFFFFF"/>
              </w:rPr>
              <w:t>6.1</w:t>
            </w:r>
            <w:r w:rsidRPr="00D5095D">
              <w:rPr>
                <w:rStyle w:val="normaltextrun"/>
                <w:color w:val="000000"/>
                <w:shd w:val="clear" w:color="auto" w:fill="FFFFFF"/>
              </w:rPr>
              <w:t>).</w:t>
            </w:r>
            <w:r w:rsidRPr="00D5095D">
              <w:rPr>
                <w:rStyle w:val="eop"/>
                <w:color w:val="000000"/>
                <w:shd w:val="clear" w:color="auto" w:fill="FFFFFF"/>
              </w:rPr>
              <w:t> </w:t>
            </w:r>
          </w:p>
        </w:tc>
      </w:tr>
      <w:tr w:rsidR="00AD163A" w:rsidRPr="00D5095D"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D5095D" w:rsidRDefault="00AD163A" w:rsidP="0081091B">
            <w:pPr>
              <w:rPr>
                <w:color w:val="3A3A3A" w:themeColor="background2" w:themeShade="40"/>
              </w:rPr>
            </w:pPr>
            <w:r w:rsidRPr="00D5095D">
              <w:rPr>
                <w:color w:val="747474" w:themeColor="background2" w:themeShade="80"/>
              </w:rPr>
              <w:t>1</w:t>
            </w:r>
            <w:r w:rsidR="00C43C89" w:rsidRPr="00D5095D">
              <w:rPr>
                <w:color w:val="747474" w:themeColor="background2" w:themeShade="80"/>
              </w:rPr>
              <w:t>2</w:t>
            </w:r>
            <w:r w:rsidRPr="00D5095D">
              <w:rPr>
                <w:color w:val="747474" w:themeColor="background2" w:themeShade="80"/>
              </w:rPr>
              <w:t>.2</w:t>
            </w:r>
          </w:p>
        </w:tc>
        <w:tc>
          <w:tcPr>
            <w:tcW w:w="2126" w:type="dxa"/>
          </w:tcPr>
          <w:p w14:paraId="7ED0E092" w14:textId="5C919167" w:rsidR="00AD163A" w:rsidRPr="00D5095D"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How is branded content described and ordered in governance?</w:t>
            </w:r>
          </w:p>
        </w:tc>
        <w:tc>
          <w:tcPr>
            <w:tcW w:w="2127" w:type="dxa"/>
          </w:tcPr>
          <w:p w14:paraId="2E444118" w14:textId="77777777" w:rsidR="00AD163A" w:rsidRPr="00D5095D"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D5095D" w:rsidRDefault="00475121" w:rsidP="0081091B">
            <w:pPr>
              <w:cnfStyle w:val="000000000000" w:firstRow="0" w:lastRow="0" w:firstColumn="0" w:lastColumn="0" w:oddVBand="0" w:evenVBand="0" w:oddHBand="0" w:evenHBand="0" w:firstRowFirstColumn="0" w:firstRowLastColumn="0" w:lastRowFirstColumn="0" w:lastRowLastColumn="0"/>
            </w:pPr>
            <w:r w:rsidRPr="00D5095D">
              <w:rPr>
                <w:rStyle w:val="normaltextrun"/>
                <w:color w:val="000000"/>
                <w:shd w:val="clear" w:color="auto" w:fill="FFFFFF"/>
              </w:rPr>
              <w:t>The Unfair Commercial Practices Directive (</w:t>
            </w:r>
            <w:hyperlink r:id="rId167"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classifies undisclosed commercial communication as a misleading omission, which is a prohibited practice.</w:t>
            </w:r>
            <w:r w:rsidRPr="00D5095D">
              <w:rPr>
                <w:rStyle w:val="eop"/>
                <w:color w:val="000000"/>
                <w:shd w:val="clear" w:color="auto" w:fill="FFFFFF"/>
              </w:rPr>
              <w:t> </w:t>
            </w:r>
          </w:p>
        </w:tc>
      </w:tr>
    </w:tbl>
    <w:p w14:paraId="5E31E6A2" w14:textId="77777777" w:rsidR="000A52F4" w:rsidRPr="00D5095D" w:rsidRDefault="000A52F4" w:rsidP="00123C17">
      <w:pPr>
        <w:pStyle w:val="SectionHead"/>
        <w:rPr>
          <w:rFonts w:cs="Arial"/>
        </w:rPr>
      </w:pPr>
      <w:bookmarkStart w:id="16" w:name="_Toc170216100"/>
      <w:r w:rsidRPr="00D5095D">
        <w:rPr>
          <w:rFonts w:cs="Arial"/>
        </w:rPr>
        <w:t>Experiential</w:t>
      </w:r>
      <w:bookmarkEnd w:id="16"/>
      <w:r w:rsidRPr="00D5095D">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D5095D"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D5095D" w:rsidRDefault="009521E3" w:rsidP="0081091B">
            <w:pPr>
              <w:pStyle w:val="Tableheadings"/>
              <w:spacing w:line="240" w:lineRule="auto"/>
              <w:rPr>
                <w:b/>
                <w:bCs/>
              </w:rPr>
            </w:pPr>
            <w:r w:rsidRPr="00D5095D">
              <w:rPr>
                <w:b/>
                <w:bCs/>
              </w:rPr>
              <w:lastRenderedPageBreak/>
              <w:t>Item</w:t>
            </w:r>
          </w:p>
        </w:tc>
        <w:tc>
          <w:tcPr>
            <w:tcW w:w="2126" w:type="dxa"/>
            <w:tcBorders>
              <w:bottom w:val="none" w:sz="0" w:space="0" w:color="auto"/>
            </w:tcBorders>
          </w:tcPr>
          <w:p w14:paraId="675B46BC" w14:textId="77777777" w:rsidR="009521E3" w:rsidRPr="00D5095D"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33B586B8" w14:textId="77777777" w:rsidR="009521E3" w:rsidRPr="00D5095D"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 xml:space="preserve">Classification </w:t>
            </w:r>
          </w:p>
        </w:tc>
        <w:tc>
          <w:tcPr>
            <w:tcW w:w="5670" w:type="dxa"/>
            <w:tcBorders>
              <w:bottom w:val="none" w:sz="0" w:space="0" w:color="auto"/>
            </w:tcBorders>
          </w:tcPr>
          <w:p w14:paraId="55FE1450" w14:textId="77777777" w:rsidR="009521E3" w:rsidRPr="00D5095D"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9521E3" w:rsidRPr="00D5095D"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D5095D" w:rsidRDefault="009521E3" w:rsidP="0081091B">
            <w:pPr>
              <w:rPr>
                <w:b w:val="0"/>
                <w:bCs w:val="0"/>
                <w:color w:val="747474" w:themeColor="background2" w:themeShade="80"/>
              </w:rPr>
            </w:pPr>
            <w:r w:rsidRPr="00D5095D">
              <w:rPr>
                <w:color w:val="747474" w:themeColor="background2" w:themeShade="80"/>
              </w:rPr>
              <w:t>1</w:t>
            </w:r>
            <w:r w:rsidR="000A52F4" w:rsidRPr="00D5095D">
              <w:rPr>
                <w:color w:val="747474" w:themeColor="background2" w:themeShade="80"/>
              </w:rPr>
              <w:t>3</w:t>
            </w:r>
            <w:r w:rsidRPr="00D5095D">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D5095D"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D5095D"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D5095D" w:rsidRDefault="00475121" w:rsidP="0081091B">
            <w:pPr>
              <w:cnfStyle w:val="000000100000" w:firstRow="0" w:lastRow="0" w:firstColumn="0" w:lastColumn="0" w:oddVBand="0" w:evenVBand="0" w:oddHBand="1" w:evenHBand="0" w:firstRowFirstColumn="0" w:firstRowLastColumn="0" w:lastRowFirstColumn="0" w:lastRowLastColumn="0"/>
            </w:pPr>
            <w:r w:rsidRPr="00D5095D">
              <w:rPr>
                <w:rStyle w:val="normaltextrun"/>
                <w:color w:val="000000"/>
                <w:shd w:val="clear" w:color="auto" w:fill="FFFFFF"/>
              </w:rPr>
              <w:t>In the European Union, the Unfair Commercial Practices Directive (</w:t>
            </w:r>
            <w:hyperlink r:id="rId168"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and the Misleading and Comparative Advertising Directive (</w:t>
            </w:r>
            <w:hyperlink r:id="rId169" w:tgtFrame="_blank" w:history="1">
              <w:r w:rsidRPr="00D5095D">
                <w:rPr>
                  <w:rStyle w:val="normaltextrun"/>
                  <w:color w:val="0563C1"/>
                  <w:u w:val="single"/>
                  <w:shd w:val="clear" w:color="auto" w:fill="FFFFFF"/>
                </w:rPr>
                <w:t>Directive 2006/114/EC</w:t>
              </w:r>
            </w:hyperlink>
            <w:r w:rsidRPr="00D5095D">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D5095D">
              <w:rPr>
                <w:rStyle w:val="normaltextrun"/>
                <w:b/>
                <w:bCs/>
                <w:color w:val="000000"/>
                <w:shd w:val="clear" w:color="auto" w:fill="FFFFFF"/>
              </w:rPr>
              <w:t>6.1</w:t>
            </w:r>
            <w:r w:rsidRPr="00D5095D">
              <w:rPr>
                <w:rStyle w:val="normaltextrun"/>
                <w:color w:val="000000"/>
                <w:shd w:val="clear" w:color="auto" w:fill="FFFFFF"/>
              </w:rPr>
              <w:t>).</w:t>
            </w:r>
            <w:r w:rsidRPr="00D5095D">
              <w:rPr>
                <w:rStyle w:val="eop"/>
                <w:color w:val="000000"/>
                <w:shd w:val="clear" w:color="auto" w:fill="FFFFFF"/>
              </w:rPr>
              <w:t> </w:t>
            </w:r>
          </w:p>
        </w:tc>
      </w:tr>
      <w:tr w:rsidR="009521E3" w:rsidRPr="00D5095D"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D5095D" w:rsidRDefault="009521E3" w:rsidP="0081091B">
            <w:pPr>
              <w:rPr>
                <w:color w:val="3A3A3A" w:themeColor="background2" w:themeShade="40"/>
              </w:rPr>
            </w:pPr>
            <w:r w:rsidRPr="00D5095D">
              <w:rPr>
                <w:color w:val="747474" w:themeColor="background2" w:themeShade="80"/>
              </w:rPr>
              <w:t>1</w:t>
            </w:r>
            <w:r w:rsidR="00745D31" w:rsidRPr="00D5095D">
              <w:rPr>
                <w:color w:val="747474" w:themeColor="background2" w:themeShade="80"/>
              </w:rPr>
              <w:t>3</w:t>
            </w:r>
            <w:r w:rsidRPr="00D5095D">
              <w:rPr>
                <w:color w:val="747474" w:themeColor="background2" w:themeShade="80"/>
              </w:rPr>
              <w:t>.2</w:t>
            </w:r>
          </w:p>
        </w:tc>
        <w:tc>
          <w:tcPr>
            <w:tcW w:w="2126" w:type="dxa"/>
          </w:tcPr>
          <w:p w14:paraId="38A2518F" w14:textId="1FD579B4" w:rsidR="009521E3" w:rsidRPr="00D5095D"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How is branded content described and ordered in governance?</w:t>
            </w:r>
          </w:p>
        </w:tc>
        <w:tc>
          <w:tcPr>
            <w:tcW w:w="2127" w:type="dxa"/>
          </w:tcPr>
          <w:p w14:paraId="461FAFEB" w14:textId="77777777" w:rsidR="009521E3" w:rsidRPr="00D5095D"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D5095D" w:rsidRDefault="00475121" w:rsidP="0081091B">
            <w:pPr>
              <w:cnfStyle w:val="000000000000" w:firstRow="0" w:lastRow="0" w:firstColumn="0" w:lastColumn="0" w:oddVBand="0" w:evenVBand="0" w:oddHBand="0" w:evenHBand="0" w:firstRowFirstColumn="0" w:firstRowLastColumn="0" w:lastRowFirstColumn="0" w:lastRowLastColumn="0"/>
            </w:pPr>
            <w:r w:rsidRPr="00D5095D">
              <w:rPr>
                <w:rStyle w:val="normaltextrun"/>
                <w:color w:val="000000"/>
                <w:shd w:val="clear" w:color="auto" w:fill="FFFFFF"/>
              </w:rPr>
              <w:t>The Unfair Commercial Practices Directive (</w:t>
            </w:r>
            <w:hyperlink r:id="rId170" w:tgtFrame="_blank" w:history="1">
              <w:r w:rsidRPr="00D5095D">
                <w:rPr>
                  <w:rStyle w:val="normaltextrun"/>
                  <w:color w:val="0563C1"/>
                  <w:u w:val="single"/>
                  <w:shd w:val="clear" w:color="auto" w:fill="FFFFFF"/>
                </w:rPr>
                <w:t>Directive 2005/29/EC</w:t>
              </w:r>
            </w:hyperlink>
            <w:r w:rsidRPr="00D5095D">
              <w:rPr>
                <w:rStyle w:val="normaltextrun"/>
                <w:color w:val="000000"/>
                <w:shd w:val="clear" w:color="auto" w:fill="FFFFFF"/>
              </w:rPr>
              <w:t>) classifies undisclosed commercial communication as a misleading omission, which is a prohibited practice.</w:t>
            </w:r>
            <w:r w:rsidRPr="00D5095D">
              <w:rPr>
                <w:rStyle w:val="eop"/>
                <w:color w:val="000000"/>
                <w:shd w:val="clear" w:color="auto" w:fill="FFFFFF"/>
              </w:rPr>
              <w:t> </w:t>
            </w:r>
          </w:p>
        </w:tc>
      </w:tr>
    </w:tbl>
    <w:p w14:paraId="32B2A124" w14:textId="77777777" w:rsidR="00454DD4" w:rsidRPr="00D5095D" w:rsidRDefault="00454DD4" w:rsidP="00123C17">
      <w:pPr>
        <w:pStyle w:val="SectionHead"/>
        <w:rPr>
          <w:rFonts w:cs="Arial"/>
        </w:rPr>
      </w:pPr>
      <w:bookmarkStart w:id="17" w:name="_Toc170216101"/>
      <w:r w:rsidRPr="00D5095D">
        <w:rPr>
          <w:rFonts w:cs="Arial"/>
        </w:rPr>
        <w:t>Other</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D5095D"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D5095D" w:rsidRDefault="00745D31" w:rsidP="0081091B">
            <w:pPr>
              <w:pStyle w:val="Tableheadings"/>
              <w:spacing w:line="240" w:lineRule="auto"/>
              <w:rPr>
                <w:b/>
                <w:bCs/>
              </w:rPr>
            </w:pPr>
            <w:r w:rsidRPr="00D5095D">
              <w:rPr>
                <w:b/>
                <w:bCs/>
              </w:rPr>
              <w:t>Item</w:t>
            </w:r>
          </w:p>
        </w:tc>
        <w:tc>
          <w:tcPr>
            <w:tcW w:w="2126" w:type="dxa"/>
            <w:tcBorders>
              <w:bottom w:val="none" w:sz="0" w:space="0" w:color="auto"/>
            </w:tcBorders>
          </w:tcPr>
          <w:p w14:paraId="61A6CEC6" w14:textId="77777777" w:rsidR="00745D31" w:rsidRPr="00D5095D"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7" w:type="dxa"/>
            <w:tcBorders>
              <w:bottom w:val="none" w:sz="0" w:space="0" w:color="auto"/>
            </w:tcBorders>
          </w:tcPr>
          <w:p w14:paraId="5757741F" w14:textId="77777777" w:rsidR="00745D31" w:rsidRPr="00D5095D"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70" w:type="dxa"/>
            <w:tcBorders>
              <w:bottom w:val="none" w:sz="0" w:space="0" w:color="auto"/>
            </w:tcBorders>
          </w:tcPr>
          <w:p w14:paraId="510E9C35" w14:textId="77777777" w:rsidR="00745D31" w:rsidRPr="00D5095D"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745D31" w:rsidRPr="00D5095D"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D5095D" w:rsidRDefault="00745D31" w:rsidP="0081091B">
            <w:pPr>
              <w:rPr>
                <w:b w:val="0"/>
                <w:bCs w:val="0"/>
                <w:color w:val="747474" w:themeColor="background2" w:themeShade="80"/>
              </w:rPr>
            </w:pPr>
            <w:r w:rsidRPr="00D5095D">
              <w:rPr>
                <w:color w:val="747474" w:themeColor="background2" w:themeShade="80"/>
              </w:rPr>
              <w:t>1</w:t>
            </w:r>
            <w:r w:rsidR="00EE5DED" w:rsidRPr="00D5095D">
              <w:rPr>
                <w:color w:val="747474" w:themeColor="background2" w:themeShade="80"/>
              </w:rPr>
              <w:t>4</w:t>
            </w:r>
            <w:r w:rsidRPr="00D5095D">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D5095D"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Rules/governance arrangements across category</w:t>
            </w:r>
          </w:p>
        </w:tc>
        <w:tc>
          <w:tcPr>
            <w:tcW w:w="2127" w:type="dxa"/>
            <w:tcBorders>
              <w:top w:val="none" w:sz="0" w:space="0" w:color="auto"/>
              <w:bottom w:val="none" w:sz="0" w:space="0" w:color="auto"/>
            </w:tcBorders>
          </w:tcPr>
          <w:p w14:paraId="2F5986FA" w14:textId="77777777" w:rsidR="00745D31" w:rsidRPr="00D5095D"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D5095D"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D5095D"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D5095D" w:rsidRDefault="00745D31" w:rsidP="0081091B">
            <w:pPr>
              <w:rPr>
                <w:color w:val="3A3A3A" w:themeColor="background2" w:themeShade="40"/>
              </w:rPr>
            </w:pPr>
            <w:r w:rsidRPr="00D5095D">
              <w:rPr>
                <w:color w:val="747474" w:themeColor="background2" w:themeShade="80"/>
              </w:rPr>
              <w:t>1</w:t>
            </w:r>
            <w:r w:rsidR="00EE5DED" w:rsidRPr="00D5095D">
              <w:rPr>
                <w:color w:val="747474" w:themeColor="background2" w:themeShade="80"/>
              </w:rPr>
              <w:t>4</w:t>
            </w:r>
            <w:r w:rsidRPr="00D5095D">
              <w:rPr>
                <w:color w:val="747474" w:themeColor="background2" w:themeShade="80"/>
              </w:rPr>
              <w:t>.2</w:t>
            </w:r>
          </w:p>
        </w:tc>
        <w:tc>
          <w:tcPr>
            <w:tcW w:w="2126" w:type="dxa"/>
          </w:tcPr>
          <w:p w14:paraId="5A84B260" w14:textId="7E49B99B" w:rsidR="00745D31" w:rsidRPr="00D5095D"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How is branded content described and ordered in governance?</w:t>
            </w:r>
          </w:p>
        </w:tc>
        <w:tc>
          <w:tcPr>
            <w:tcW w:w="2127" w:type="dxa"/>
          </w:tcPr>
          <w:p w14:paraId="2FBBECA2" w14:textId="77777777" w:rsidR="00745D31" w:rsidRPr="00D5095D"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D5095D"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D5095D" w:rsidRDefault="009553F2" w:rsidP="009553F2">
      <w:pPr>
        <w:pStyle w:val="SectionHead"/>
        <w:rPr>
          <w:rFonts w:cs="Arial"/>
          <w:iCs w:val="0"/>
        </w:rPr>
      </w:pPr>
      <w:bookmarkStart w:id="18" w:name="_Toc170216102"/>
      <w:r w:rsidRPr="00D5095D">
        <w:rPr>
          <w:rFonts w:cs="Arial"/>
          <w:iCs w:val="0"/>
        </w:rPr>
        <w:t>Convergence</w:t>
      </w:r>
      <w:r w:rsidRPr="00D5095D">
        <w:rPr>
          <w:rFonts w:cs="Arial"/>
          <w:iCs w:val="0"/>
        </w:rPr>
        <w:br/>
      </w:r>
      <w:r w:rsidRPr="00D5095D">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D5095D"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D5095D" w:rsidRDefault="0061668B" w:rsidP="0081091B">
            <w:pPr>
              <w:pStyle w:val="Tableheadings"/>
              <w:spacing w:line="240" w:lineRule="auto"/>
              <w:rPr>
                <w:b/>
                <w:bCs/>
              </w:rPr>
            </w:pPr>
            <w:r w:rsidRPr="00D5095D">
              <w:rPr>
                <w:b/>
                <w:bCs/>
              </w:rPr>
              <w:t>Item</w:t>
            </w:r>
          </w:p>
        </w:tc>
        <w:tc>
          <w:tcPr>
            <w:tcW w:w="2143" w:type="dxa"/>
            <w:tcBorders>
              <w:bottom w:val="none" w:sz="0" w:space="0" w:color="auto"/>
            </w:tcBorders>
          </w:tcPr>
          <w:p w14:paraId="689AD725" w14:textId="77777777" w:rsidR="0061668B" w:rsidRPr="00D5095D"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5" w:type="dxa"/>
            <w:tcBorders>
              <w:bottom w:val="none" w:sz="0" w:space="0" w:color="auto"/>
            </w:tcBorders>
          </w:tcPr>
          <w:p w14:paraId="173C853A" w14:textId="77777777" w:rsidR="0061668B" w:rsidRPr="00D5095D"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56" w:type="dxa"/>
            <w:tcBorders>
              <w:bottom w:val="none" w:sz="0" w:space="0" w:color="auto"/>
            </w:tcBorders>
          </w:tcPr>
          <w:p w14:paraId="07CFD34C" w14:textId="77777777" w:rsidR="0061668B" w:rsidRPr="00D5095D"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61668B" w:rsidRPr="00D5095D"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D5095D" w:rsidRDefault="0061668B" w:rsidP="0081091B">
            <w:pPr>
              <w:rPr>
                <w:b w:val="0"/>
                <w:bCs w:val="0"/>
                <w:color w:val="747474" w:themeColor="background2" w:themeShade="80"/>
              </w:rPr>
            </w:pPr>
            <w:r w:rsidRPr="00D5095D">
              <w:rPr>
                <w:color w:val="747474" w:themeColor="background2" w:themeShade="80"/>
              </w:rPr>
              <w:t>1</w:t>
            </w:r>
            <w:r w:rsidR="006E0408" w:rsidRPr="00D5095D">
              <w:rPr>
                <w:color w:val="747474" w:themeColor="background2" w:themeShade="80"/>
              </w:rPr>
              <w:t>5</w:t>
            </w:r>
            <w:r w:rsidRPr="00D5095D">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D5095D"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D5095D"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D5095D"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D5095D"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D5095D" w:rsidRDefault="0061668B" w:rsidP="0081091B">
            <w:pPr>
              <w:rPr>
                <w:color w:val="3A3A3A" w:themeColor="background2" w:themeShade="40"/>
              </w:rPr>
            </w:pPr>
            <w:r w:rsidRPr="00D5095D">
              <w:rPr>
                <w:color w:val="747474" w:themeColor="background2" w:themeShade="80"/>
              </w:rPr>
              <w:t>1</w:t>
            </w:r>
            <w:r w:rsidR="006E0408" w:rsidRPr="00D5095D">
              <w:rPr>
                <w:color w:val="747474" w:themeColor="background2" w:themeShade="80"/>
              </w:rPr>
              <w:t>5</w:t>
            </w:r>
            <w:r w:rsidRPr="00D5095D">
              <w:rPr>
                <w:color w:val="747474" w:themeColor="background2" w:themeShade="80"/>
              </w:rPr>
              <w:t>.2</w:t>
            </w:r>
          </w:p>
        </w:tc>
        <w:tc>
          <w:tcPr>
            <w:tcW w:w="2143" w:type="dxa"/>
          </w:tcPr>
          <w:p w14:paraId="60DCD93F" w14:textId="58A7EBB0" w:rsidR="0061668B" w:rsidRPr="00D5095D"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Does a single SRO oversee more than one of 6-16 above? Which?</w:t>
            </w:r>
          </w:p>
        </w:tc>
        <w:tc>
          <w:tcPr>
            <w:tcW w:w="2125" w:type="dxa"/>
          </w:tcPr>
          <w:p w14:paraId="138742B8" w14:textId="77777777" w:rsidR="0061668B" w:rsidRPr="00D5095D"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D5095D"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D5095D"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D5095D" w:rsidRDefault="006E0408" w:rsidP="0081091B">
            <w:pPr>
              <w:rPr>
                <w:color w:val="747474" w:themeColor="background2" w:themeShade="80"/>
              </w:rPr>
            </w:pPr>
            <w:r w:rsidRPr="00D5095D">
              <w:rPr>
                <w:color w:val="747474" w:themeColor="background2" w:themeShade="80"/>
              </w:rPr>
              <w:lastRenderedPageBreak/>
              <w:t>15.3</w:t>
            </w:r>
          </w:p>
        </w:tc>
        <w:tc>
          <w:tcPr>
            <w:tcW w:w="2143" w:type="dxa"/>
          </w:tcPr>
          <w:p w14:paraId="33B1F8BF" w14:textId="5B1F6461" w:rsidR="006E0408" w:rsidRPr="00D5095D"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Is there cross-platform BC governance?</w:t>
            </w:r>
          </w:p>
        </w:tc>
        <w:tc>
          <w:tcPr>
            <w:tcW w:w="2125" w:type="dxa"/>
          </w:tcPr>
          <w:p w14:paraId="4DA076DA" w14:textId="77777777" w:rsidR="006E0408" w:rsidRPr="00D5095D"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D5095D"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D5095D"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D5095D" w:rsidRDefault="006E0408" w:rsidP="0081091B">
            <w:pPr>
              <w:rPr>
                <w:color w:val="747474" w:themeColor="background2" w:themeShade="80"/>
              </w:rPr>
            </w:pPr>
            <w:r w:rsidRPr="00D5095D">
              <w:rPr>
                <w:color w:val="747474" w:themeColor="background2" w:themeShade="80"/>
              </w:rPr>
              <w:t>15.4</w:t>
            </w:r>
          </w:p>
        </w:tc>
        <w:tc>
          <w:tcPr>
            <w:tcW w:w="2143" w:type="dxa"/>
          </w:tcPr>
          <w:p w14:paraId="35221FD0" w14:textId="66FCBE5E" w:rsidR="006E0408" w:rsidRPr="00D5095D"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rPr>
                <w:highlight w:val="lightGray"/>
              </w:rPr>
              <w:t>Is there technology/platform neutral BC governance</w:t>
            </w:r>
            <w:r w:rsidRPr="00D5095D">
              <w:t>?</w:t>
            </w:r>
          </w:p>
        </w:tc>
        <w:tc>
          <w:tcPr>
            <w:tcW w:w="2125" w:type="dxa"/>
          </w:tcPr>
          <w:p w14:paraId="792B4208" w14:textId="77777777" w:rsidR="006E0408" w:rsidRPr="00D5095D"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D5095D"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D5095D"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D5095D" w:rsidRDefault="006E0408" w:rsidP="0081091B">
            <w:pPr>
              <w:rPr>
                <w:color w:val="747474" w:themeColor="background2" w:themeShade="80"/>
              </w:rPr>
            </w:pPr>
            <w:r w:rsidRPr="00D5095D">
              <w:rPr>
                <w:color w:val="747474" w:themeColor="background2" w:themeShade="80"/>
              </w:rPr>
              <w:t>15.5</w:t>
            </w:r>
          </w:p>
        </w:tc>
        <w:tc>
          <w:tcPr>
            <w:tcW w:w="2143" w:type="dxa"/>
          </w:tcPr>
          <w:p w14:paraId="5ED130BF" w14:textId="5FD02092" w:rsidR="006E0408" w:rsidRPr="00D5095D"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D5095D">
              <w:rPr>
                <w:highlight w:val="lightGray"/>
              </w:rPr>
              <w:t>Are there regulatory gaps and anomalies across 6-14? What?</w:t>
            </w:r>
          </w:p>
        </w:tc>
        <w:tc>
          <w:tcPr>
            <w:tcW w:w="2125" w:type="dxa"/>
          </w:tcPr>
          <w:p w14:paraId="1A47F178" w14:textId="77777777" w:rsidR="006E0408" w:rsidRPr="00D5095D"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D5095D"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D5095D"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D5095D" w:rsidRDefault="006E0408" w:rsidP="0081091B">
            <w:pPr>
              <w:rPr>
                <w:color w:val="747474" w:themeColor="background2" w:themeShade="80"/>
              </w:rPr>
            </w:pPr>
            <w:r w:rsidRPr="00D5095D">
              <w:rPr>
                <w:color w:val="747474" w:themeColor="background2" w:themeShade="80"/>
              </w:rPr>
              <w:t>15.6</w:t>
            </w:r>
          </w:p>
        </w:tc>
        <w:tc>
          <w:tcPr>
            <w:tcW w:w="2143" w:type="dxa"/>
          </w:tcPr>
          <w:p w14:paraId="7AF0F232" w14:textId="08C1E7E8" w:rsidR="006E0408" w:rsidRPr="00D5095D"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rPr>
                <w:highlight w:val="lightGray"/>
              </w:rPr>
              <w:t>Metrics/ranking</w:t>
            </w:r>
          </w:p>
        </w:tc>
        <w:tc>
          <w:tcPr>
            <w:tcW w:w="2125" w:type="dxa"/>
          </w:tcPr>
          <w:p w14:paraId="088865F9" w14:textId="77777777" w:rsidR="006E0408" w:rsidRPr="00D5095D"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D5095D"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D5095D" w:rsidRDefault="00FB6479" w:rsidP="00FB6479">
      <w:pPr>
        <w:pStyle w:val="SectionHead"/>
        <w:rPr>
          <w:rFonts w:cs="Arial"/>
          <w:iCs w:val="0"/>
        </w:rPr>
      </w:pPr>
      <w:bookmarkStart w:id="19" w:name="_Toc170216103"/>
      <w:r w:rsidRPr="00D5095D">
        <w:rPr>
          <w:rFonts w:cs="Arial"/>
          <w:iCs w:val="0"/>
        </w:rPr>
        <w:t>Analysis and Evaluation</w:t>
      </w:r>
      <w:r w:rsidR="00D91F60" w:rsidRPr="00D5095D">
        <w:rPr>
          <w:rFonts w:cs="Arial"/>
          <w:iCs w:val="0"/>
        </w:rPr>
        <w:br/>
      </w:r>
      <w:r w:rsidR="00D91F60" w:rsidRPr="00D5095D">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D5095D"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D5095D" w:rsidRDefault="00D91F60" w:rsidP="0081091B">
            <w:pPr>
              <w:pStyle w:val="Tableheadings"/>
              <w:spacing w:line="240" w:lineRule="auto"/>
              <w:rPr>
                <w:b/>
                <w:bCs/>
              </w:rPr>
            </w:pPr>
            <w:r w:rsidRPr="00D5095D">
              <w:rPr>
                <w:b/>
                <w:bCs/>
              </w:rPr>
              <w:t>Item</w:t>
            </w:r>
          </w:p>
        </w:tc>
        <w:tc>
          <w:tcPr>
            <w:tcW w:w="2143" w:type="dxa"/>
            <w:tcBorders>
              <w:bottom w:val="none" w:sz="0" w:space="0" w:color="auto"/>
            </w:tcBorders>
          </w:tcPr>
          <w:p w14:paraId="5D23F815" w14:textId="77777777" w:rsidR="00D91F60" w:rsidRPr="00D5095D"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D5095D">
              <w:rPr>
                <w:b/>
                <w:bCs/>
              </w:rPr>
              <w:t>Subject</w:t>
            </w:r>
          </w:p>
        </w:tc>
        <w:tc>
          <w:tcPr>
            <w:tcW w:w="2125" w:type="dxa"/>
            <w:tcBorders>
              <w:bottom w:val="none" w:sz="0" w:space="0" w:color="auto"/>
            </w:tcBorders>
          </w:tcPr>
          <w:p w14:paraId="47F119CA" w14:textId="77777777" w:rsidR="00D91F60" w:rsidRPr="00D5095D"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D5095D">
              <w:rPr>
                <w:b/>
                <w:bCs/>
              </w:rPr>
              <w:t>Classification</w:t>
            </w:r>
            <w:r w:rsidRPr="00D5095D">
              <w:rPr>
                <w:b/>
                <w:bCs/>
                <w:color w:val="595959" w:themeColor="text1" w:themeTint="A6"/>
              </w:rPr>
              <w:t xml:space="preserve"> </w:t>
            </w:r>
          </w:p>
        </w:tc>
        <w:tc>
          <w:tcPr>
            <w:tcW w:w="5656" w:type="dxa"/>
            <w:tcBorders>
              <w:bottom w:val="none" w:sz="0" w:space="0" w:color="auto"/>
            </w:tcBorders>
          </w:tcPr>
          <w:p w14:paraId="07774443" w14:textId="77777777" w:rsidR="00D91F60" w:rsidRPr="00D5095D"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D5095D">
              <w:rPr>
                <w:b/>
                <w:bCs/>
              </w:rPr>
              <w:t>Description</w:t>
            </w:r>
          </w:p>
        </w:tc>
      </w:tr>
      <w:tr w:rsidR="00D91F60" w:rsidRPr="00D5095D"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D5095D" w:rsidRDefault="00D91F60" w:rsidP="0081091B">
            <w:pPr>
              <w:rPr>
                <w:b w:val="0"/>
                <w:bCs w:val="0"/>
                <w:color w:val="747474" w:themeColor="background2" w:themeShade="80"/>
              </w:rPr>
            </w:pPr>
            <w:r w:rsidRPr="00D5095D">
              <w:rPr>
                <w:color w:val="747474" w:themeColor="background2" w:themeShade="80"/>
              </w:rPr>
              <w:t>1</w:t>
            </w:r>
            <w:r w:rsidR="002E3655" w:rsidRPr="00D5095D">
              <w:rPr>
                <w:color w:val="747474" w:themeColor="background2" w:themeShade="80"/>
              </w:rPr>
              <w:t>6</w:t>
            </w:r>
            <w:r w:rsidRPr="00D5095D">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D5095D"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Practices</w:t>
            </w:r>
          </w:p>
        </w:tc>
        <w:tc>
          <w:tcPr>
            <w:tcW w:w="2125" w:type="dxa"/>
            <w:tcBorders>
              <w:top w:val="none" w:sz="0" w:space="0" w:color="auto"/>
              <w:bottom w:val="none" w:sz="0" w:space="0" w:color="auto"/>
            </w:tcBorders>
          </w:tcPr>
          <w:p w14:paraId="34BCE959" w14:textId="77777777" w:rsidR="00D91F60" w:rsidRPr="00D5095D"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D5095D"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D5095D"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D5095D" w:rsidRDefault="00D91F60" w:rsidP="0081091B">
            <w:pPr>
              <w:rPr>
                <w:color w:val="3A3A3A" w:themeColor="background2" w:themeShade="40"/>
              </w:rPr>
            </w:pPr>
            <w:r w:rsidRPr="00D5095D">
              <w:rPr>
                <w:color w:val="747474" w:themeColor="background2" w:themeShade="80"/>
              </w:rPr>
              <w:t>1</w:t>
            </w:r>
            <w:r w:rsidR="002E3655" w:rsidRPr="00D5095D">
              <w:rPr>
                <w:color w:val="747474" w:themeColor="background2" w:themeShade="80"/>
              </w:rPr>
              <w:t>6</w:t>
            </w:r>
            <w:r w:rsidRPr="00D5095D">
              <w:rPr>
                <w:color w:val="747474" w:themeColor="background2" w:themeShade="80"/>
              </w:rPr>
              <w:t>.2</w:t>
            </w:r>
          </w:p>
        </w:tc>
        <w:tc>
          <w:tcPr>
            <w:tcW w:w="2143" w:type="dxa"/>
          </w:tcPr>
          <w:p w14:paraId="2DCD7BBF" w14:textId="2E681B19" w:rsidR="00D91F60" w:rsidRPr="00D5095D"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rPr>
                <w:rFonts w:eastAsia="Arial"/>
              </w:rPr>
              <w:t>Commercial influence over editorial content</w:t>
            </w:r>
          </w:p>
        </w:tc>
        <w:tc>
          <w:tcPr>
            <w:tcW w:w="2125" w:type="dxa"/>
          </w:tcPr>
          <w:p w14:paraId="3F11200F" w14:textId="77777777" w:rsidR="00D91F60" w:rsidRPr="00D5095D"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D5095D"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D5095D"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D5095D" w:rsidRDefault="00D91F60" w:rsidP="0081091B">
            <w:pPr>
              <w:rPr>
                <w:color w:val="747474" w:themeColor="background2" w:themeShade="80"/>
              </w:rPr>
            </w:pPr>
            <w:r w:rsidRPr="00D5095D">
              <w:rPr>
                <w:color w:val="747474" w:themeColor="background2" w:themeShade="80"/>
              </w:rPr>
              <w:t>1</w:t>
            </w:r>
            <w:r w:rsidR="002E3655" w:rsidRPr="00D5095D">
              <w:rPr>
                <w:color w:val="747474" w:themeColor="background2" w:themeShade="80"/>
              </w:rPr>
              <w:t>6</w:t>
            </w:r>
            <w:r w:rsidRPr="00D5095D">
              <w:rPr>
                <w:color w:val="747474" w:themeColor="background2" w:themeShade="80"/>
              </w:rPr>
              <w:t>.3</w:t>
            </w:r>
          </w:p>
        </w:tc>
        <w:tc>
          <w:tcPr>
            <w:tcW w:w="2143" w:type="dxa"/>
          </w:tcPr>
          <w:p w14:paraId="4649C8D4" w14:textId="15FE9633" w:rsidR="00D91F60" w:rsidRPr="00D5095D"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Rule adherence</w:t>
            </w:r>
          </w:p>
        </w:tc>
        <w:tc>
          <w:tcPr>
            <w:tcW w:w="2125" w:type="dxa"/>
          </w:tcPr>
          <w:p w14:paraId="17AA4E0D" w14:textId="77777777" w:rsidR="00D91F60" w:rsidRPr="00D5095D"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D5095D"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D5095D"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D5095D" w:rsidRDefault="00D91F60" w:rsidP="0081091B">
            <w:pPr>
              <w:rPr>
                <w:color w:val="747474" w:themeColor="background2" w:themeShade="80"/>
              </w:rPr>
            </w:pPr>
            <w:r w:rsidRPr="00D5095D">
              <w:rPr>
                <w:color w:val="747474" w:themeColor="background2" w:themeShade="80"/>
              </w:rPr>
              <w:t>1</w:t>
            </w:r>
            <w:r w:rsidR="002E3655" w:rsidRPr="00D5095D">
              <w:rPr>
                <w:color w:val="747474" w:themeColor="background2" w:themeShade="80"/>
              </w:rPr>
              <w:t>6</w:t>
            </w:r>
            <w:r w:rsidRPr="00D5095D">
              <w:rPr>
                <w:color w:val="747474" w:themeColor="background2" w:themeShade="80"/>
              </w:rPr>
              <w:t>.4</w:t>
            </w:r>
          </w:p>
        </w:tc>
        <w:tc>
          <w:tcPr>
            <w:tcW w:w="2143" w:type="dxa"/>
          </w:tcPr>
          <w:p w14:paraId="420DE7C9" w14:textId="03C21FDD" w:rsidR="00D91F60" w:rsidRPr="00D5095D"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Legal-reg legitimacy (support)</w:t>
            </w:r>
          </w:p>
        </w:tc>
        <w:tc>
          <w:tcPr>
            <w:tcW w:w="2125" w:type="dxa"/>
          </w:tcPr>
          <w:p w14:paraId="2A81E2A9" w14:textId="77777777" w:rsidR="00D91F60" w:rsidRPr="00D5095D"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D5095D"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D5095D"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D5095D" w:rsidRDefault="00D91F60" w:rsidP="0081091B">
            <w:pPr>
              <w:rPr>
                <w:color w:val="747474" w:themeColor="background2" w:themeShade="80"/>
              </w:rPr>
            </w:pPr>
            <w:r w:rsidRPr="00D5095D">
              <w:rPr>
                <w:color w:val="747474" w:themeColor="background2" w:themeShade="80"/>
              </w:rPr>
              <w:t>1</w:t>
            </w:r>
            <w:r w:rsidR="002E3655" w:rsidRPr="00D5095D">
              <w:rPr>
                <w:color w:val="747474" w:themeColor="background2" w:themeShade="80"/>
              </w:rPr>
              <w:t>6</w:t>
            </w:r>
            <w:r w:rsidRPr="00D5095D">
              <w:rPr>
                <w:color w:val="747474" w:themeColor="background2" w:themeShade="80"/>
              </w:rPr>
              <w:t>.5</w:t>
            </w:r>
          </w:p>
        </w:tc>
        <w:tc>
          <w:tcPr>
            <w:tcW w:w="2143" w:type="dxa"/>
          </w:tcPr>
          <w:p w14:paraId="367F6367" w14:textId="27A55224" w:rsidR="00D91F60" w:rsidRPr="00D5095D"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SRO legitimacy (support)</w:t>
            </w:r>
          </w:p>
        </w:tc>
        <w:tc>
          <w:tcPr>
            <w:tcW w:w="2125" w:type="dxa"/>
          </w:tcPr>
          <w:p w14:paraId="5015492C" w14:textId="77777777" w:rsidR="00D91F60" w:rsidRPr="00D5095D"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D5095D"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D5095D"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D5095D" w:rsidRDefault="008E179F" w:rsidP="0081091B">
            <w:pPr>
              <w:rPr>
                <w:color w:val="747474" w:themeColor="background2" w:themeShade="80"/>
              </w:rPr>
            </w:pPr>
            <w:r w:rsidRPr="00D5095D">
              <w:rPr>
                <w:color w:val="747474" w:themeColor="background2" w:themeShade="80"/>
              </w:rPr>
              <w:t>16.6</w:t>
            </w:r>
          </w:p>
        </w:tc>
        <w:tc>
          <w:tcPr>
            <w:tcW w:w="2143" w:type="dxa"/>
          </w:tcPr>
          <w:p w14:paraId="7C8C6F7D" w14:textId="71289E50" w:rsidR="008E179F" w:rsidRPr="00D5095D"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Legal Enforcement</w:t>
            </w:r>
          </w:p>
        </w:tc>
        <w:tc>
          <w:tcPr>
            <w:tcW w:w="2125" w:type="dxa"/>
          </w:tcPr>
          <w:p w14:paraId="329E03F9" w14:textId="6AA870BC" w:rsidR="008E179F" w:rsidRPr="00D5095D"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D5095D"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D5095D"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D5095D" w:rsidRDefault="00F74EB0" w:rsidP="0081091B">
            <w:pPr>
              <w:rPr>
                <w:color w:val="747474" w:themeColor="background2" w:themeShade="80"/>
              </w:rPr>
            </w:pPr>
            <w:r w:rsidRPr="00D5095D">
              <w:rPr>
                <w:color w:val="747474" w:themeColor="background2" w:themeShade="80"/>
              </w:rPr>
              <w:t>16.7</w:t>
            </w:r>
          </w:p>
        </w:tc>
        <w:tc>
          <w:tcPr>
            <w:tcW w:w="2143" w:type="dxa"/>
          </w:tcPr>
          <w:p w14:paraId="3EE8E5C8" w14:textId="77BDBF1A" w:rsidR="008E179F" w:rsidRPr="00D5095D"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SRO enforcement</w:t>
            </w:r>
          </w:p>
        </w:tc>
        <w:tc>
          <w:tcPr>
            <w:tcW w:w="2125" w:type="dxa"/>
          </w:tcPr>
          <w:p w14:paraId="07C3F364" w14:textId="77777777" w:rsidR="008E179F" w:rsidRPr="00D5095D"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D5095D"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D5095D"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D5095D" w:rsidRDefault="00F74EB0" w:rsidP="0081091B">
            <w:pPr>
              <w:rPr>
                <w:color w:val="747474" w:themeColor="background2" w:themeShade="80"/>
              </w:rPr>
            </w:pPr>
            <w:r w:rsidRPr="00D5095D">
              <w:rPr>
                <w:color w:val="747474" w:themeColor="background2" w:themeShade="80"/>
              </w:rPr>
              <w:t>16.8</w:t>
            </w:r>
          </w:p>
        </w:tc>
        <w:tc>
          <w:tcPr>
            <w:tcW w:w="2143" w:type="dxa"/>
          </w:tcPr>
          <w:p w14:paraId="5DBFF646" w14:textId="1419231E" w:rsidR="008E179F" w:rsidRPr="00D5095D"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Industry self-reg enforcement</w:t>
            </w:r>
          </w:p>
        </w:tc>
        <w:tc>
          <w:tcPr>
            <w:tcW w:w="2125" w:type="dxa"/>
          </w:tcPr>
          <w:p w14:paraId="2857D4D1" w14:textId="77777777" w:rsidR="008E179F" w:rsidRPr="00D5095D"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D5095D"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D5095D"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D5095D" w:rsidRDefault="00024AB0" w:rsidP="0081091B">
            <w:pPr>
              <w:rPr>
                <w:color w:val="747474" w:themeColor="background2" w:themeShade="80"/>
              </w:rPr>
            </w:pPr>
            <w:r w:rsidRPr="00D5095D">
              <w:rPr>
                <w:color w:val="747474" w:themeColor="background2" w:themeShade="80"/>
              </w:rPr>
              <w:lastRenderedPageBreak/>
              <w:t>16.9</w:t>
            </w:r>
          </w:p>
        </w:tc>
        <w:tc>
          <w:tcPr>
            <w:tcW w:w="2143" w:type="dxa"/>
          </w:tcPr>
          <w:p w14:paraId="6AA5FBB7" w14:textId="08425758" w:rsidR="00036FF9" w:rsidRPr="00D5095D"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D5095D">
              <w:t>Effectiveness</w:t>
            </w:r>
          </w:p>
        </w:tc>
        <w:tc>
          <w:tcPr>
            <w:tcW w:w="2125" w:type="dxa"/>
          </w:tcPr>
          <w:p w14:paraId="7CB69D07" w14:textId="77777777" w:rsidR="00036FF9" w:rsidRPr="00D5095D"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D5095D"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D5095D"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D5095D" w:rsidRDefault="00F74EB0" w:rsidP="0081091B">
            <w:pPr>
              <w:rPr>
                <w:color w:val="747474" w:themeColor="background2" w:themeShade="80"/>
              </w:rPr>
            </w:pPr>
            <w:r w:rsidRPr="00D5095D">
              <w:rPr>
                <w:color w:val="747474" w:themeColor="background2" w:themeShade="80"/>
              </w:rPr>
              <w:t>16.</w:t>
            </w:r>
            <w:r w:rsidR="00024AB0" w:rsidRPr="00D5095D">
              <w:rPr>
                <w:color w:val="747474" w:themeColor="background2" w:themeShade="80"/>
              </w:rPr>
              <w:t>10</w:t>
            </w:r>
          </w:p>
        </w:tc>
        <w:tc>
          <w:tcPr>
            <w:tcW w:w="2143" w:type="dxa"/>
          </w:tcPr>
          <w:p w14:paraId="094D0FE8" w14:textId="4907FB83" w:rsidR="008E179F" w:rsidRPr="00D5095D"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D5095D">
              <w:t>Metrics/Ranking</w:t>
            </w:r>
          </w:p>
        </w:tc>
        <w:tc>
          <w:tcPr>
            <w:tcW w:w="2125" w:type="dxa"/>
          </w:tcPr>
          <w:p w14:paraId="6C67FCBD" w14:textId="77777777" w:rsidR="008E179F" w:rsidRPr="00D5095D"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D5095D"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2253D511" w14:textId="2B629279" w:rsidR="001D3882" w:rsidRDefault="001D3882" w:rsidP="001D3882">
      <w:pPr>
        <w:pStyle w:val="paragraph"/>
        <w:spacing w:before="0" w:beforeAutospacing="0" w:after="0" w:afterAutospacing="0"/>
        <w:ind w:left="720" w:hanging="720"/>
        <w:textAlignment w:val="baseline"/>
        <w:rPr>
          <w:rStyle w:val="normaltextrun"/>
          <w:rFonts w:ascii="Calibri" w:eastAsiaTheme="majorEastAsia" w:hAnsi="Calibri" w:cs="Calibri"/>
          <w:sz w:val="22"/>
          <w:szCs w:val="22"/>
        </w:rPr>
      </w:pPr>
    </w:p>
    <w:p w14:paraId="7F9A07AA" w14:textId="5325118C" w:rsidR="00E521E9" w:rsidRDefault="00E521E9" w:rsidP="001D3882">
      <w:pPr>
        <w:pStyle w:val="paragraph"/>
        <w:spacing w:before="0" w:beforeAutospacing="0" w:after="0" w:afterAutospacing="0"/>
        <w:ind w:left="720" w:hanging="720"/>
        <w:textAlignment w:val="baseline"/>
        <w:rPr>
          <w:rStyle w:val="normaltextrun"/>
          <w:rFonts w:ascii="Calibri" w:eastAsiaTheme="majorEastAsia" w:hAnsi="Calibri" w:cs="Calibri"/>
          <w:sz w:val="22"/>
          <w:szCs w:val="22"/>
        </w:rPr>
      </w:pPr>
    </w:p>
    <w:p w14:paraId="6536F465" w14:textId="4FBDA7CE" w:rsidR="00E521E9" w:rsidRDefault="00E521E9" w:rsidP="00130DE6">
      <w:pPr>
        <w:rPr>
          <w:rStyle w:val="normaltextrun"/>
          <w:rFonts w:ascii="Calibri" w:eastAsiaTheme="majorEastAsia" w:hAnsi="Calibri" w:cs="Calibri"/>
          <w:lang w:eastAsia="en-GB"/>
        </w:rPr>
      </w:pPr>
      <w:r>
        <w:rPr>
          <w:rStyle w:val="normaltextrun"/>
          <w:rFonts w:ascii="Calibri" w:eastAsiaTheme="majorEastAsia" w:hAnsi="Calibri" w:cs="Calibri"/>
        </w:rPr>
        <w:br w:type="page"/>
      </w:r>
    </w:p>
    <w:p w14:paraId="578567B9" w14:textId="77777777" w:rsidR="00E521E9" w:rsidRDefault="00E521E9" w:rsidP="00E521E9">
      <w:pPr>
        <w:pStyle w:val="SectionHead"/>
        <w:numPr>
          <w:ilvl w:val="0"/>
          <w:numId w:val="0"/>
        </w:numPr>
      </w:pPr>
      <w:bookmarkStart w:id="20" w:name="_Toc169692791"/>
      <w:bookmarkStart w:id="21" w:name="_Toc170216104"/>
      <w:r>
        <w:lastRenderedPageBreak/>
        <w:t>Authorship and Acknowledgements</w:t>
      </w:r>
      <w:bookmarkEnd w:id="20"/>
      <w:bookmarkEnd w:id="21"/>
    </w:p>
    <w:p w14:paraId="33E8FB33" w14:textId="77777777" w:rsidR="00E521E9" w:rsidRDefault="00E521E9" w:rsidP="00E521E9">
      <w:pPr>
        <w:pStyle w:val="Tableheadings"/>
      </w:pPr>
    </w:p>
    <w:p w14:paraId="227AD2CA" w14:textId="77777777" w:rsidR="00011AD0" w:rsidRDefault="00011AD0" w:rsidP="00E521E9"/>
    <w:p w14:paraId="2F205CEA" w14:textId="77777777" w:rsidR="00011AD0" w:rsidRDefault="00011AD0" w:rsidP="00011AD0">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Kubicka and Dr </w:t>
      </w:r>
      <w:r w:rsidRPr="00B821EF">
        <w:t>Clara Sanchez-Rebato Valiente</w:t>
      </w:r>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r w:rsidRPr="00E92B8E">
        <w:t>Núñez Gómez</w:t>
      </w:r>
      <w:r>
        <w:t xml:space="preserve">, Complutense University of Madrid. Our project research team also includes </w:t>
      </w:r>
      <w:r>
        <w:rPr>
          <w:rFonts w:ascii="Helvetica Neue" w:hAnsi="Helvetica Neue"/>
        </w:rPr>
        <w:t xml:space="preserve">Dr. </w:t>
      </w:r>
      <w:r w:rsidRPr="008A2F85">
        <w:rPr>
          <w:rFonts w:ascii="Helvetica Neue" w:hAnsi="Helvetica Neue"/>
        </w:rPr>
        <w:t>Celia Rangel</w:t>
      </w:r>
      <w:r>
        <w:rPr>
          <w:rFonts w:ascii="Helvetica Neue" w:hAnsi="Helvetica Neue"/>
        </w:rPr>
        <w:t>, Computense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Martínez Isidoro</w:t>
      </w:r>
      <w:r>
        <w:rPr>
          <w:rFonts w:ascii="Helvetica Neue" w:hAnsi="Helvetica Neue"/>
        </w:rPr>
        <w:t xml:space="preserve">, Complutense University, Dr. </w:t>
      </w:r>
      <w:r w:rsidRPr="008A2F85">
        <w:rPr>
          <w:rFonts w:ascii="Helvetica Neue" w:hAnsi="Helvetica Neue"/>
        </w:rPr>
        <w:t>Maria Establés</w:t>
      </w:r>
      <w:r>
        <w:rPr>
          <w:rFonts w:ascii="Helvetica Neue" w:hAnsi="Helvetica Neue"/>
        </w:rPr>
        <w:t xml:space="preserve">, </w:t>
      </w:r>
      <w:r>
        <w:t>University of Castilla-La Mancha</w:t>
      </w:r>
      <w:r>
        <w:rPr>
          <w:rFonts w:ascii="Helvetica Neue" w:hAnsi="Helvetica Neue"/>
        </w:rPr>
        <w:t xml:space="preserve"> and Dr. </w:t>
      </w:r>
      <w:r w:rsidRPr="008A2F85">
        <w:rPr>
          <w:rFonts w:ascii="Helvetica Neue" w:hAnsi="Helvetica Neue"/>
        </w:rPr>
        <w:t>Lucia Gloria Vázquez Rodrígeuz</w:t>
      </w:r>
      <w:r>
        <w:rPr>
          <w:rFonts w:ascii="Helvetica Neue" w:hAnsi="Helvetica Neue"/>
        </w:rPr>
        <w:t xml:space="preserve">, University College London. </w:t>
      </w:r>
    </w:p>
    <w:p w14:paraId="07995AE6" w14:textId="77777777" w:rsidR="00011AD0" w:rsidRDefault="00011AD0" w:rsidP="00011AD0">
      <w:pPr>
        <w:rPr>
          <w:rFonts w:ascii="Helvetica Neue" w:hAnsi="Helvetica Neue"/>
        </w:rPr>
      </w:pPr>
      <w:r>
        <w:rPr>
          <w:rFonts w:ascii="Helvetica Neue" w:hAnsi="Helvetica Neue"/>
        </w:rPr>
        <w:t xml:space="preserve">These reports could not have been produced without the contribution of academic advisers, and of lawyers and other advisers, who have provided expert guidance to assist our team. </w:t>
      </w:r>
    </w:p>
    <w:p w14:paraId="3AF960CA" w14:textId="7A50326D" w:rsidR="00011AD0" w:rsidRPr="00011AD0" w:rsidRDefault="00011AD0" w:rsidP="1342D17E">
      <w:r w:rsidRPr="1342D17E">
        <w:rPr>
          <w:rFonts w:ascii="Helvetica Neue" w:hAnsi="Helvetica Neue"/>
        </w:rPr>
        <w:t xml:space="preserve">For this report we wish to thank the following members of our network of academic and other advisers for the BCG Project: Professor </w:t>
      </w:r>
      <w:r>
        <w:t>Anda Rožukalne</w:t>
      </w:r>
      <w:r w:rsidR="1ED3CD11">
        <w:t>, Rīga Stradiņš University.</w:t>
      </w:r>
    </w:p>
    <w:p w14:paraId="0C02F2CA" w14:textId="77777777" w:rsidR="00011AD0" w:rsidRDefault="00011AD0" w:rsidP="00011AD0">
      <w:pPr>
        <w:rPr>
          <w:rFonts w:ascii="Helvetica Neue" w:hAnsi="Helvetica Neue"/>
        </w:rPr>
      </w:pPr>
      <w:r>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6828D4D8" w14:textId="77777777" w:rsidR="00011AD0" w:rsidRDefault="00011AD0" w:rsidP="00011AD0"/>
    <w:p w14:paraId="017A5BC8" w14:textId="77777777" w:rsidR="00011AD0" w:rsidRDefault="00011AD0" w:rsidP="00011AD0"/>
    <w:p w14:paraId="1D469843" w14:textId="77777777" w:rsidR="00130DE6" w:rsidRDefault="00130DE6" w:rsidP="00E521E9">
      <w:pPr>
        <w:rPr>
          <w:b/>
          <w:bCs/>
          <w:color w:val="747474" w:themeColor="background2" w:themeShade="80"/>
        </w:rPr>
      </w:pPr>
    </w:p>
    <w:p w14:paraId="39C78C58" w14:textId="77777777" w:rsidR="00011AD0" w:rsidRDefault="00011AD0">
      <w:pPr>
        <w:rPr>
          <w:rFonts w:eastAsiaTheme="minorEastAsia" w:cs="Times New Roman (Body CS)"/>
          <w:iCs/>
          <w:color w:val="000000" w:themeColor="text1"/>
          <w:sz w:val="24"/>
          <w:szCs w:val="24"/>
        </w:rPr>
      </w:pPr>
      <w:bookmarkStart w:id="22" w:name="_Toc169692792"/>
      <w:r>
        <w:br w:type="page"/>
      </w:r>
    </w:p>
    <w:p w14:paraId="4AC6E29C" w14:textId="16FE6DD0" w:rsidR="00E521E9" w:rsidRPr="002C4BF1" w:rsidRDefault="00E521E9" w:rsidP="00E521E9">
      <w:pPr>
        <w:pStyle w:val="SectionHead"/>
        <w:numPr>
          <w:ilvl w:val="0"/>
          <w:numId w:val="0"/>
        </w:numPr>
      </w:pPr>
      <w:bookmarkStart w:id="23" w:name="_Toc170216105"/>
      <w:r w:rsidRPr="002C4BF1">
        <w:lastRenderedPageBreak/>
        <w:t>References</w:t>
      </w:r>
      <w:bookmarkEnd w:id="22"/>
      <w:bookmarkEnd w:id="23"/>
    </w:p>
    <w:p w14:paraId="7ABD430E" w14:textId="77777777" w:rsidR="001D3882" w:rsidRDefault="001D3882" w:rsidP="00E521E9">
      <w:pPr>
        <w:pStyle w:val="paragraph"/>
        <w:spacing w:before="0" w:beforeAutospacing="0" w:after="0" w:afterAutospacing="0"/>
        <w:textAlignment w:val="baseline"/>
        <w:rPr>
          <w:rStyle w:val="normaltextrun"/>
          <w:rFonts w:ascii="Calibri" w:eastAsiaTheme="majorEastAsia" w:hAnsi="Calibri" w:cs="Calibri"/>
          <w:sz w:val="22"/>
          <w:szCs w:val="22"/>
        </w:rPr>
      </w:pPr>
    </w:p>
    <w:p w14:paraId="21BD58C6" w14:textId="0521BF8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sz w:val="22"/>
          <w:szCs w:val="22"/>
        </w:rPr>
        <w:t xml:space="preserve">Ančs, P., Spilbergs, S., Zandars, E. (2021). ‘Latvia’, in Jordan, P. and Butcher, A. (ed.) </w:t>
      </w:r>
      <w:r w:rsidRPr="001D3882">
        <w:rPr>
          <w:rStyle w:val="normaltextrun"/>
          <w:rFonts w:ascii="Arial" w:eastAsiaTheme="majorEastAsia" w:hAnsi="Arial" w:cs="Arial"/>
          <w:i/>
          <w:iCs/>
          <w:sz w:val="22"/>
          <w:szCs w:val="22"/>
        </w:rPr>
        <w:t>International Advertising Law: A Practical Global Guide</w:t>
      </w:r>
      <w:r w:rsidRPr="001D3882">
        <w:rPr>
          <w:rStyle w:val="normaltextrun"/>
          <w:rFonts w:ascii="Arial" w:eastAsiaTheme="majorEastAsia" w:hAnsi="Arial" w:cs="Arial"/>
          <w:sz w:val="22"/>
          <w:szCs w:val="22"/>
        </w:rPr>
        <w:t>. Surrey: Globe Law and Business. 395-418.</w:t>
      </w:r>
      <w:r w:rsidRPr="001D3882">
        <w:rPr>
          <w:rStyle w:val="eop"/>
          <w:rFonts w:ascii="Arial" w:eastAsiaTheme="majorEastAsia" w:hAnsi="Arial" w:cs="Arial"/>
          <w:sz w:val="22"/>
          <w:szCs w:val="22"/>
        </w:rPr>
        <w:t> </w:t>
      </w:r>
    </w:p>
    <w:p w14:paraId="2F865ACD" w14:textId="2813AF90" w:rsidR="00475121"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color w:val="000000"/>
          <w:sz w:val="22"/>
          <w:szCs w:val="22"/>
        </w:rPr>
        <w:t xml:space="preserve">CIA (Central Intelligence Agency). 2022. </w:t>
      </w:r>
      <w:r w:rsidRPr="001D3882">
        <w:rPr>
          <w:rStyle w:val="normaltextrun"/>
          <w:rFonts w:ascii="Arial" w:eastAsiaTheme="majorEastAsia" w:hAnsi="Arial" w:cs="Arial"/>
          <w:i/>
          <w:iCs/>
          <w:sz w:val="22"/>
          <w:szCs w:val="22"/>
        </w:rPr>
        <w:t>The World Factbook</w:t>
      </w:r>
      <w:r w:rsidRPr="001D3882">
        <w:rPr>
          <w:rStyle w:val="normaltextrun"/>
          <w:rFonts w:ascii="Arial" w:eastAsiaTheme="majorEastAsia" w:hAnsi="Arial" w:cs="Arial"/>
          <w:sz w:val="22"/>
          <w:szCs w:val="22"/>
        </w:rPr>
        <w:t xml:space="preserve">. Virginia: CIA. Available: </w:t>
      </w:r>
      <w:hyperlink r:id="rId171" w:tgtFrame="_blank" w:history="1">
        <w:r w:rsidRPr="001D3882">
          <w:rPr>
            <w:rStyle w:val="normaltextrun"/>
            <w:rFonts w:ascii="Arial" w:eastAsiaTheme="majorEastAsia" w:hAnsi="Arial" w:cs="Arial"/>
            <w:color w:val="0563C1"/>
            <w:sz w:val="22"/>
            <w:szCs w:val="22"/>
            <w:u w:val="single"/>
          </w:rPr>
          <w:t>https://www.cia.gov/the-world-factbook/</w:t>
        </w:r>
      </w:hyperlink>
      <w:r w:rsidRPr="001D3882">
        <w:rPr>
          <w:rStyle w:val="normaltextrun"/>
          <w:rFonts w:ascii="Arial" w:eastAsiaTheme="majorEastAsia" w:hAnsi="Arial" w:cs="Arial"/>
          <w:color w:val="000000"/>
          <w:sz w:val="22"/>
          <w:szCs w:val="22"/>
        </w:rPr>
        <w:t xml:space="preserve"> (accessed: 12 December 2022).</w:t>
      </w:r>
      <w:r w:rsidRPr="001D3882">
        <w:rPr>
          <w:rStyle w:val="eop"/>
          <w:rFonts w:ascii="Arial" w:eastAsiaTheme="majorEastAsia" w:hAnsi="Arial" w:cs="Arial"/>
          <w:color w:val="000000"/>
          <w:sz w:val="22"/>
          <w:szCs w:val="22"/>
        </w:rPr>
        <w:t> </w:t>
      </w:r>
    </w:p>
    <w:p w14:paraId="60F54107" w14:textId="575D40A8" w:rsidR="00475121" w:rsidRPr="001D3882" w:rsidRDefault="00475121" w:rsidP="00194796">
      <w:pPr>
        <w:spacing w:after="80" w:line="240" w:lineRule="auto"/>
        <w:ind w:left="270" w:hanging="270"/>
        <w:textAlignment w:val="baseline"/>
        <w:rPr>
          <w:rFonts w:eastAsia="Times New Roman"/>
          <w:sz w:val="18"/>
          <w:szCs w:val="18"/>
          <w:lang w:eastAsia="en-GB"/>
        </w:rPr>
      </w:pPr>
      <w:r w:rsidRPr="001D3882">
        <w:rPr>
          <w:rFonts w:eastAsia="Times New Roman"/>
          <w:lang w:val="en-US" w:eastAsia="en-GB"/>
        </w:rPr>
        <w:t xml:space="preserve">DataGuidance. (2023). </w:t>
      </w:r>
      <w:r w:rsidRPr="001D3882">
        <w:rPr>
          <w:rFonts w:eastAsia="Times New Roman"/>
          <w:i/>
          <w:iCs/>
          <w:lang w:val="en-US" w:eastAsia="en-GB"/>
        </w:rPr>
        <w:t>EU: Personalized Advertising in Europe and Legal Consequences in Line with Recent Regulations</w:t>
      </w:r>
      <w:r w:rsidRPr="001D3882">
        <w:rPr>
          <w:rFonts w:eastAsia="Times New Roman"/>
          <w:lang w:val="en-US" w:eastAsia="en-GB"/>
        </w:rPr>
        <w:t xml:space="preserve">. Available:  </w:t>
      </w:r>
      <w:hyperlink r:id="rId172" w:tgtFrame="_blank" w:history="1">
        <w:r w:rsidRPr="001D3882">
          <w:rPr>
            <w:rFonts w:eastAsia="Times New Roman"/>
            <w:color w:val="0563C1"/>
            <w:u w:val="single"/>
            <w:lang w:val="en-US" w:eastAsia="en-GB"/>
          </w:rPr>
          <w:t>https://www.dataguidance.com/opinion/eu-personalized-advertising-europe-and-legal</w:t>
        </w:r>
      </w:hyperlink>
      <w:r w:rsidRPr="001D3882">
        <w:rPr>
          <w:rFonts w:eastAsia="Times New Roman"/>
          <w:lang w:val="en-US" w:eastAsia="en-GB"/>
        </w:rPr>
        <w:t xml:space="preserve"> (accessed: 14 May 2024).</w:t>
      </w:r>
      <w:r w:rsidRPr="001D3882">
        <w:rPr>
          <w:rFonts w:eastAsia="Times New Roman"/>
          <w:lang w:eastAsia="en-GB"/>
        </w:rPr>
        <w:t> </w:t>
      </w:r>
    </w:p>
    <w:p w14:paraId="3BCC919E" w14:textId="77777777" w:rsidR="00475121" w:rsidRPr="001D3882" w:rsidRDefault="00475121" w:rsidP="00194796">
      <w:pPr>
        <w:spacing w:after="80" w:line="240" w:lineRule="auto"/>
        <w:ind w:left="270" w:hanging="270"/>
        <w:textAlignment w:val="baseline"/>
        <w:rPr>
          <w:rFonts w:eastAsia="Times New Roman"/>
          <w:sz w:val="18"/>
          <w:szCs w:val="18"/>
          <w:lang w:eastAsia="en-GB"/>
        </w:rPr>
      </w:pPr>
      <w:r w:rsidRPr="001D3882">
        <w:rPr>
          <w:rFonts w:eastAsia="Times New Roman"/>
          <w:lang w:val="en-US" w:eastAsia="en-GB"/>
        </w:rPr>
        <w:t xml:space="preserve">European Commission. (2024). </w:t>
      </w:r>
      <w:r w:rsidRPr="001D3882">
        <w:rPr>
          <w:rFonts w:eastAsia="Times New Roman"/>
          <w:i/>
          <w:iCs/>
          <w:lang w:val="en-US" w:eastAsia="en-GB"/>
        </w:rPr>
        <w:t>Investigation of the Commission and Consumer Authorities Finds That Online Influencers Rarely Disclose Commercial Content</w:t>
      </w:r>
      <w:r w:rsidRPr="001D3882">
        <w:rPr>
          <w:rFonts w:eastAsia="Times New Roman"/>
          <w:lang w:val="en-US" w:eastAsia="en-GB"/>
        </w:rPr>
        <w:t xml:space="preserve">. Brussels: European Commission. Available: </w:t>
      </w:r>
      <w:hyperlink r:id="rId173" w:tgtFrame="_blank" w:history="1">
        <w:r w:rsidRPr="001D3882">
          <w:rPr>
            <w:rFonts w:eastAsia="Times New Roman"/>
            <w:color w:val="0563C1"/>
            <w:u w:val="single"/>
            <w:lang w:val="en-US" w:eastAsia="en-GB"/>
          </w:rPr>
          <w:t>https://ec.europa.eu/commission/presscorner/detail/en/ip_24_708</w:t>
        </w:r>
      </w:hyperlink>
      <w:r w:rsidRPr="001D3882">
        <w:rPr>
          <w:rFonts w:eastAsia="Times New Roman"/>
          <w:lang w:val="en-US" w:eastAsia="en-GB"/>
        </w:rPr>
        <w:t xml:space="preserve"> (accessed: 14 May 2024).</w:t>
      </w:r>
      <w:r w:rsidRPr="001D3882">
        <w:rPr>
          <w:rFonts w:eastAsia="Times New Roman"/>
          <w:lang w:eastAsia="en-GB"/>
        </w:rPr>
        <w:t> </w:t>
      </w:r>
    </w:p>
    <w:p w14:paraId="5AD46AF4" w14:textId="21DB1DE4" w:rsidR="001D3882" w:rsidRPr="001D3882" w:rsidRDefault="00475121" w:rsidP="00194796">
      <w:pPr>
        <w:spacing w:after="80" w:line="240" w:lineRule="auto"/>
        <w:ind w:left="270" w:hanging="270"/>
        <w:textAlignment w:val="baseline"/>
        <w:rPr>
          <w:rFonts w:eastAsia="Times New Roman"/>
          <w:color w:val="212121"/>
          <w:lang w:eastAsia="en-GB"/>
        </w:rPr>
      </w:pPr>
      <w:r w:rsidRPr="001D3882">
        <w:rPr>
          <w:rFonts w:eastAsia="Times New Roman"/>
          <w:lang w:eastAsia="en-GB"/>
        </w:rPr>
        <w:t xml:space="preserve">Hardy, J.  (2022). </w:t>
      </w:r>
      <w:hyperlink r:id="rId174" w:tgtFrame="_blank" w:history="1">
        <w:r w:rsidRPr="001D3882">
          <w:rPr>
            <w:rFonts w:eastAsia="Times New Roman"/>
            <w:i/>
            <w:iCs/>
            <w:color w:val="0563C1"/>
            <w:u w:val="single"/>
            <w:lang w:eastAsia="en-GB"/>
          </w:rPr>
          <w:t>Branded Content: The Fateful Merging of Media and Marketing.</w:t>
        </w:r>
      </w:hyperlink>
      <w:r w:rsidRPr="001D3882">
        <w:rPr>
          <w:rFonts w:eastAsia="Times New Roman"/>
          <w:color w:val="212121"/>
          <w:lang w:eastAsia="en-GB"/>
        </w:rPr>
        <w:t xml:space="preserve"> London: Routledge.</w:t>
      </w:r>
    </w:p>
    <w:p w14:paraId="7F4FFFE2"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color w:val="000000"/>
          <w:sz w:val="22"/>
          <w:szCs w:val="22"/>
        </w:rPr>
        <w:t xml:space="preserve">International Advertising Bureau Europe (IAB Europe). (2022). </w:t>
      </w:r>
      <w:r w:rsidRPr="001D3882">
        <w:rPr>
          <w:rStyle w:val="normaltextrun"/>
          <w:rFonts w:ascii="Arial" w:eastAsiaTheme="majorEastAsia" w:hAnsi="Arial" w:cs="Arial"/>
          <w:i/>
          <w:iCs/>
          <w:color w:val="000000"/>
          <w:sz w:val="22"/>
          <w:szCs w:val="22"/>
        </w:rPr>
        <w:t>Interactive Advertising Association IAB Baltics Launches in the Baltics</w:t>
      </w:r>
      <w:r w:rsidRPr="001D3882">
        <w:rPr>
          <w:rStyle w:val="normaltextrun"/>
          <w:rFonts w:ascii="Arial" w:eastAsiaTheme="majorEastAsia" w:hAnsi="Arial" w:cs="Arial"/>
          <w:color w:val="000000"/>
          <w:sz w:val="22"/>
          <w:szCs w:val="22"/>
        </w:rPr>
        <w:t xml:space="preserve">. Brussels: IAB Europe. Available: </w:t>
      </w:r>
      <w:hyperlink r:id="rId175" w:tgtFrame="_blank" w:history="1">
        <w:r w:rsidRPr="001D3882">
          <w:rPr>
            <w:rStyle w:val="normaltextrun"/>
            <w:rFonts w:ascii="Arial" w:eastAsiaTheme="majorEastAsia" w:hAnsi="Arial" w:cs="Arial"/>
            <w:color w:val="0563C1"/>
            <w:sz w:val="22"/>
            <w:szCs w:val="22"/>
            <w:u w:val="single"/>
          </w:rPr>
          <w:t>Interactive Advertising Association IAB Baltics Launches in the Baltics - IAB Europe</w:t>
        </w:r>
      </w:hyperlink>
      <w:r w:rsidRPr="001D3882">
        <w:rPr>
          <w:rStyle w:val="normaltextrun"/>
          <w:rFonts w:ascii="Arial" w:eastAsiaTheme="majorEastAsia" w:hAnsi="Arial" w:cs="Arial"/>
          <w:sz w:val="22"/>
          <w:szCs w:val="22"/>
        </w:rPr>
        <w:t xml:space="preserve"> </w:t>
      </w:r>
      <w:r w:rsidRPr="001D3882">
        <w:rPr>
          <w:rStyle w:val="normaltextrun"/>
          <w:rFonts w:ascii="Arial" w:eastAsiaTheme="majorEastAsia" w:hAnsi="Arial" w:cs="Arial"/>
          <w:color w:val="000000"/>
          <w:sz w:val="22"/>
          <w:szCs w:val="22"/>
        </w:rPr>
        <w:t>(accessed: 2 May 2023).</w:t>
      </w:r>
      <w:r w:rsidRPr="001D3882">
        <w:rPr>
          <w:rStyle w:val="eop"/>
          <w:rFonts w:ascii="Arial" w:eastAsiaTheme="majorEastAsia" w:hAnsi="Arial" w:cs="Arial"/>
          <w:color w:val="000000"/>
          <w:sz w:val="22"/>
          <w:szCs w:val="22"/>
        </w:rPr>
        <w:t> </w:t>
      </w:r>
    </w:p>
    <w:p w14:paraId="3B188D85"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sz w:val="22"/>
          <w:szCs w:val="22"/>
        </w:rPr>
        <w:t xml:space="preserve">International Chamber of Commerce (ICC). (2021). </w:t>
      </w:r>
      <w:r w:rsidRPr="001D3882">
        <w:rPr>
          <w:rStyle w:val="normaltextrun"/>
          <w:rFonts w:ascii="Arial" w:eastAsiaTheme="majorEastAsia" w:hAnsi="Arial" w:cs="Arial"/>
          <w:i/>
          <w:iCs/>
          <w:sz w:val="22"/>
          <w:szCs w:val="22"/>
        </w:rPr>
        <w:t>The ICC Response to ISO Proposal</w:t>
      </w:r>
      <w:r w:rsidRPr="001D3882">
        <w:rPr>
          <w:rStyle w:val="normaltextrun"/>
          <w:rFonts w:ascii="Arial" w:eastAsiaTheme="majorEastAsia" w:hAnsi="Arial" w:cs="Arial"/>
          <w:sz w:val="22"/>
          <w:szCs w:val="22"/>
        </w:rPr>
        <w:t xml:space="preserve">. Paris: ICC. Available: </w:t>
      </w:r>
      <w:hyperlink r:id="rId176" w:tgtFrame="_blank" w:history="1">
        <w:r w:rsidRPr="001D3882">
          <w:rPr>
            <w:rStyle w:val="normaltextrun"/>
            <w:rFonts w:ascii="Arial" w:eastAsiaTheme="majorEastAsia" w:hAnsi="Arial" w:cs="Arial"/>
            <w:color w:val="0563C1"/>
            <w:sz w:val="22"/>
            <w:szCs w:val="22"/>
            <w:u w:val="single"/>
          </w:rPr>
          <w:t>icc-response-iso-proposal-020621.pdf (toyassociation.org)</w:t>
        </w:r>
      </w:hyperlink>
      <w:r w:rsidRPr="001D3882">
        <w:rPr>
          <w:rStyle w:val="normaltextrun"/>
          <w:rFonts w:ascii="Arial" w:eastAsiaTheme="majorEastAsia" w:hAnsi="Arial" w:cs="Arial"/>
          <w:sz w:val="22"/>
          <w:szCs w:val="22"/>
        </w:rPr>
        <w:t xml:space="preserve"> (accessed: 2 May 2023).</w:t>
      </w:r>
      <w:r w:rsidRPr="001D3882">
        <w:rPr>
          <w:rStyle w:val="eop"/>
          <w:rFonts w:ascii="Arial" w:eastAsiaTheme="majorEastAsia" w:hAnsi="Arial" w:cs="Arial"/>
          <w:sz w:val="22"/>
          <w:szCs w:val="22"/>
        </w:rPr>
        <w:t> </w:t>
      </w:r>
    </w:p>
    <w:p w14:paraId="37F9EA14"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lang w:val="en-US"/>
        </w:rPr>
      </w:pPr>
      <w:r w:rsidRPr="001D3882">
        <w:rPr>
          <w:rStyle w:val="normaltextrun"/>
          <w:rFonts w:ascii="Arial" w:eastAsiaTheme="majorEastAsia" w:hAnsi="Arial" w:cs="Arial"/>
          <w:sz w:val="22"/>
          <w:szCs w:val="22"/>
        </w:rPr>
        <w:t xml:space="preserve">Jauns.lv. (2024). </w:t>
      </w:r>
      <w:r w:rsidRPr="001D3882">
        <w:rPr>
          <w:rStyle w:val="normaltextrun"/>
          <w:rFonts w:ascii="Arial" w:eastAsiaTheme="majorEastAsia" w:hAnsi="Arial" w:cs="Arial"/>
          <w:i/>
          <w:iCs/>
          <w:sz w:val="22"/>
          <w:szCs w:val="22"/>
        </w:rPr>
        <w:t xml:space="preserve">Latvijas Reklāmas Asociācija Svin 30 Gadu Jubileju </w:t>
      </w:r>
      <w:r w:rsidRPr="001D3882">
        <w:rPr>
          <w:rStyle w:val="normaltextrun"/>
          <w:rFonts w:ascii="Arial" w:eastAsiaTheme="majorEastAsia" w:hAnsi="Arial" w:cs="Arial"/>
          <w:sz w:val="22"/>
          <w:szCs w:val="22"/>
        </w:rPr>
        <w:t xml:space="preserve">[Latvian Advertising Association Celebrates its 30th Anniversary]. Jauns.lv. Available: </w:t>
      </w:r>
      <w:hyperlink r:id="rId177" w:tgtFrame="_blank" w:history="1">
        <w:r w:rsidRPr="001D3882">
          <w:rPr>
            <w:rStyle w:val="normaltextrun"/>
            <w:rFonts w:ascii="Arial" w:eastAsiaTheme="majorEastAsia" w:hAnsi="Arial" w:cs="Arial"/>
            <w:color w:val="0563C1"/>
            <w:sz w:val="22"/>
            <w:szCs w:val="22"/>
            <w:u w:val="single"/>
          </w:rPr>
          <w:t>https://jauns.lv/raksts/bizness/606496-foto-latvijas-reklamas-asociacija-svin-30-gadu-jubileju</w:t>
        </w:r>
      </w:hyperlink>
      <w:r w:rsidRPr="001D3882">
        <w:rPr>
          <w:rStyle w:val="normaltextrun"/>
          <w:rFonts w:ascii="Arial" w:eastAsiaTheme="majorEastAsia" w:hAnsi="Arial" w:cs="Arial"/>
          <w:sz w:val="22"/>
          <w:szCs w:val="22"/>
        </w:rPr>
        <w:t xml:space="preserve"> (accessed: 19 June 2024).</w:t>
      </w:r>
      <w:r w:rsidRPr="001D3882">
        <w:rPr>
          <w:rStyle w:val="eop"/>
          <w:rFonts w:ascii="Arial" w:eastAsiaTheme="majorEastAsia" w:hAnsi="Arial" w:cs="Arial"/>
          <w:sz w:val="22"/>
          <w:szCs w:val="22"/>
          <w:lang w:val="en-US"/>
        </w:rPr>
        <w:t> </w:t>
      </w:r>
    </w:p>
    <w:p w14:paraId="0995D50A"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lang w:val="en-US"/>
        </w:rPr>
      </w:pPr>
      <w:r w:rsidRPr="001D3882">
        <w:rPr>
          <w:rStyle w:val="normaltextrun"/>
          <w:rFonts w:ascii="Arial" w:eastAsiaTheme="majorEastAsia" w:hAnsi="Arial" w:cs="Arial"/>
          <w:sz w:val="22"/>
          <w:szCs w:val="22"/>
        </w:rPr>
        <w:t xml:space="preserve">Latvian Advertising Association. (n.d.). </w:t>
      </w:r>
      <w:r w:rsidRPr="001D3882">
        <w:rPr>
          <w:rStyle w:val="normaltextrun"/>
          <w:rFonts w:ascii="Arial" w:eastAsiaTheme="majorEastAsia" w:hAnsi="Arial" w:cs="Arial"/>
          <w:i/>
          <w:iCs/>
          <w:sz w:val="22"/>
          <w:szCs w:val="22"/>
        </w:rPr>
        <w:t>About LRA</w:t>
      </w:r>
      <w:r w:rsidRPr="001D3882">
        <w:rPr>
          <w:rStyle w:val="normaltextrun"/>
          <w:rFonts w:ascii="Arial" w:eastAsiaTheme="majorEastAsia" w:hAnsi="Arial" w:cs="Arial"/>
          <w:sz w:val="22"/>
          <w:szCs w:val="22"/>
        </w:rPr>
        <w:t>. Riga: Latvian Advertising Association. Available: </w:t>
      </w:r>
      <w:hyperlink r:id="rId178" w:tgtFrame="_blank" w:history="1">
        <w:r w:rsidRPr="001D3882">
          <w:rPr>
            <w:rStyle w:val="normaltextrun"/>
            <w:rFonts w:ascii="Arial" w:eastAsiaTheme="majorEastAsia" w:hAnsi="Arial" w:cs="Arial"/>
            <w:color w:val="0563C1"/>
            <w:sz w:val="22"/>
            <w:szCs w:val="22"/>
            <w:u w:val="single"/>
          </w:rPr>
          <w:t>https://www.lra.lv/lv/LRA</w:t>
        </w:r>
      </w:hyperlink>
      <w:r w:rsidRPr="001D3882">
        <w:rPr>
          <w:rStyle w:val="normaltextrun"/>
          <w:rFonts w:ascii="Arial" w:eastAsiaTheme="majorEastAsia" w:hAnsi="Arial" w:cs="Arial"/>
          <w:sz w:val="22"/>
          <w:szCs w:val="22"/>
        </w:rPr>
        <w:t xml:space="preserve"> (accessed: 19 June</w:t>
      </w:r>
      <w:r w:rsidRPr="001D3882">
        <w:rPr>
          <w:rStyle w:val="eop"/>
          <w:rFonts w:ascii="Arial" w:eastAsiaTheme="majorEastAsia" w:hAnsi="Arial" w:cs="Arial"/>
          <w:sz w:val="22"/>
          <w:szCs w:val="22"/>
          <w:lang w:val="en-US"/>
        </w:rPr>
        <w:t> </w:t>
      </w:r>
    </w:p>
    <w:p w14:paraId="541A96F4"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color w:val="000000"/>
          <w:sz w:val="22"/>
          <w:szCs w:val="22"/>
        </w:rPr>
        <w:t>Latvian Advertising Association (</w:t>
      </w:r>
      <w:r w:rsidRPr="001D3882">
        <w:rPr>
          <w:rStyle w:val="normaltextrun"/>
          <w:rFonts w:ascii="Arial" w:eastAsiaTheme="majorEastAsia" w:hAnsi="Arial" w:cs="Arial"/>
          <w:sz w:val="22"/>
          <w:szCs w:val="22"/>
        </w:rPr>
        <w:t>Latvijas Reklāmas Asociazione or LRA)</w:t>
      </w:r>
      <w:r w:rsidRPr="001D3882">
        <w:rPr>
          <w:rStyle w:val="normaltextrun"/>
          <w:rFonts w:ascii="Arial" w:eastAsiaTheme="majorEastAsia" w:hAnsi="Arial" w:cs="Arial"/>
          <w:color w:val="000000"/>
          <w:sz w:val="22"/>
          <w:szCs w:val="22"/>
        </w:rPr>
        <w:t xml:space="preserve">. (2014). </w:t>
      </w:r>
      <w:r w:rsidRPr="001D3882">
        <w:rPr>
          <w:rStyle w:val="normaltextrun"/>
          <w:rFonts w:ascii="Arial" w:eastAsiaTheme="majorEastAsia" w:hAnsi="Arial" w:cs="Arial"/>
          <w:i/>
          <w:iCs/>
          <w:color w:val="000000"/>
          <w:sz w:val="22"/>
          <w:szCs w:val="22"/>
        </w:rPr>
        <w:t>T</w:t>
      </w:r>
      <w:r w:rsidRPr="001D3882">
        <w:rPr>
          <w:rStyle w:val="normaltextrun"/>
          <w:rFonts w:ascii="Arial" w:eastAsiaTheme="majorEastAsia" w:hAnsi="Arial" w:cs="Arial"/>
          <w:i/>
          <w:iCs/>
          <w:sz w:val="22"/>
          <w:szCs w:val="22"/>
        </w:rPr>
        <w:t>he Latvian Advertising Professionals' Code of Ethics</w:t>
      </w:r>
      <w:r w:rsidRPr="001D3882">
        <w:rPr>
          <w:rStyle w:val="normaltextrun"/>
          <w:rFonts w:ascii="Arial" w:eastAsiaTheme="majorEastAsia" w:hAnsi="Arial" w:cs="Arial"/>
          <w:sz w:val="22"/>
          <w:szCs w:val="22"/>
        </w:rPr>
        <w:t>. Riga: Latvian Advertising Association. Available:</w:t>
      </w:r>
      <w:r w:rsidRPr="001D3882">
        <w:rPr>
          <w:rStyle w:val="normaltextrun"/>
          <w:rFonts w:ascii="Arial" w:eastAsiaTheme="majorEastAsia" w:hAnsi="Arial" w:cs="Arial"/>
          <w:color w:val="000000"/>
          <w:sz w:val="22"/>
          <w:szCs w:val="22"/>
        </w:rPr>
        <w:t xml:space="preserve"> </w:t>
      </w:r>
      <w:hyperlink r:id="rId179" w:tgtFrame="_blank" w:history="1">
        <w:r w:rsidRPr="001D3882">
          <w:rPr>
            <w:rStyle w:val="normaltextrun"/>
            <w:rFonts w:ascii="Arial" w:eastAsiaTheme="majorEastAsia" w:hAnsi="Arial" w:cs="Arial"/>
            <w:color w:val="0563C1"/>
            <w:sz w:val="22"/>
            <w:szCs w:val="22"/>
            <w:u w:val="single"/>
          </w:rPr>
          <w:t>Latvijas reklāmas profesionāļu (lra.lv)</w:t>
        </w:r>
      </w:hyperlink>
      <w:r w:rsidRPr="001D3882">
        <w:rPr>
          <w:rStyle w:val="normaltextrun"/>
          <w:rFonts w:ascii="Arial" w:eastAsiaTheme="majorEastAsia" w:hAnsi="Arial" w:cs="Arial"/>
          <w:sz w:val="22"/>
          <w:szCs w:val="22"/>
        </w:rPr>
        <w:t xml:space="preserve"> (accessed: 2 May 2023).</w:t>
      </w:r>
      <w:r w:rsidRPr="001D3882">
        <w:rPr>
          <w:rStyle w:val="eop"/>
          <w:rFonts w:ascii="Arial" w:eastAsiaTheme="majorEastAsia" w:hAnsi="Arial" w:cs="Arial"/>
          <w:sz w:val="22"/>
          <w:szCs w:val="22"/>
        </w:rPr>
        <w:t> </w:t>
      </w:r>
    </w:p>
    <w:p w14:paraId="1B1E02EF"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sz w:val="22"/>
          <w:szCs w:val="22"/>
        </w:rPr>
        <w:t xml:space="preserve">Latvian Association of Press Publishers. (n.d.). </w:t>
      </w:r>
      <w:r w:rsidRPr="001D3882">
        <w:rPr>
          <w:rStyle w:val="normaltextrun"/>
          <w:rFonts w:ascii="Arial" w:eastAsiaTheme="majorEastAsia" w:hAnsi="Arial" w:cs="Arial"/>
          <w:i/>
          <w:iCs/>
          <w:sz w:val="22"/>
          <w:szCs w:val="22"/>
        </w:rPr>
        <w:t>Mission and Objectives</w:t>
      </w:r>
      <w:r w:rsidRPr="001D3882">
        <w:rPr>
          <w:rStyle w:val="normaltextrun"/>
          <w:rFonts w:ascii="Arial" w:eastAsiaTheme="majorEastAsia" w:hAnsi="Arial" w:cs="Arial"/>
          <w:sz w:val="22"/>
          <w:szCs w:val="22"/>
        </w:rPr>
        <w:t xml:space="preserve">. Riga: Latvian Association of Press Publishers. Available: </w:t>
      </w:r>
      <w:hyperlink r:id="rId180" w:tgtFrame="_blank" w:history="1">
        <w:r w:rsidRPr="001D3882">
          <w:rPr>
            <w:rStyle w:val="normaltextrun"/>
            <w:rFonts w:ascii="Arial" w:eastAsiaTheme="majorEastAsia" w:hAnsi="Arial" w:cs="Arial"/>
            <w:color w:val="0563C1"/>
            <w:sz w:val="22"/>
            <w:szCs w:val="22"/>
            <w:u w:val="single"/>
          </w:rPr>
          <w:t>lpia.lv / ASSOCIATION</w:t>
        </w:r>
      </w:hyperlink>
      <w:r w:rsidRPr="001D3882">
        <w:rPr>
          <w:rStyle w:val="normaltextrun"/>
          <w:rFonts w:ascii="Arial" w:eastAsiaTheme="majorEastAsia" w:hAnsi="Arial" w:cs="Arial"/>
          <w:sz w:val="22"/>
          <w:szCs w:val="22"/>
        </w:rPr>
        <w:t xml:space="preserve"> (accessed: 2 May 2023).</w:t>
      </w:r>
      <w:r w:rsidRPr="001D3882">
        <w:rPr>
          <w:rStyle w:val="eop"/>
          <w:rFonts w:ascii="Arial" w:eastAsiaTheme="majorEastAsia" w:hAnsi="Arial" w:cs="Arial"/>
          <w:sz w:val="22"/>
          <w:szCs w:val="22"/>
        </w:rPr>
        <w:t> </w:t>
      </w:r>
    </w:p>
    <w:p w14:paraId="69633AB4"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lang w:val="en-US"/>
        </w:rPr>
      </w:pPr>
      <w:r w:rsidRPr="001D3882">
        <w:rPr>
          <w:rStyle w:val="normaltextrun"/>
          <w:rFonts w:ascii="Arial" w:eastAsiaTheme="majorEastAsia" w:hAnsi="Arial" w:cs="Arial"/>
          <w:sz w:val="22"/>
          <w:szCs w:val="22"/>
        </w:rPr>
        <w:t xml:space="preserve">Ministry of Economics of Latvia. (2024). </w:t>
      </w:r>
      <w:r w:rsidRPr="001D3882">
        <w:rPr>
          <w:rStyle w:val="normaltextrun"/>
          <w:rFonts w:ascii="Arial" w:eastAsiaTheme="majorEastAsia" w:hAnsi="Arial" w:cs="Arial"/>
          <w:i/>
          <w:iCs/>
          <w:sz w:val="22"/>
          <w:szCs w:val="22"/>
        </w:rPr>
        <w:t>Almost 3 million Euros Additional Funding for Foreign Film Production in Latvia</w:t>
      </w:r>
      <w:r w:rsidRPr="001D3882">
        <w:rPr>
          <w:rStyle w:val="normaltextrun"/>
          <w:rFonts w:ascii="Arial" w:eastAsiaTheme="majorEastAsia" w:hAnsi="Arial" w:cs="Arial"/>
          <w:sz w:val="22"/>
          <w:szCs w:val="22"/>
        </w:rPr>
        <w:t xml:space="preserve">. Riga: Ministry of Economics of Latvia.  Available: </w:t>
      </w:r>
      <w:hyperlink r:id="rId181" w:tgtFrame="_blank" w:history="1">
        <w:r w:rsidRPr="001D3882">
          <w:rPr>
            <w:rStyle w:val="normaltextrun"/>
            <w:rFonts w:ascii="Arial" w:eastAsiaTheme="majorEastAsia" w:hAnsi="Arial" w:cs="Arial"/>
            <w:color w:val="0563C1"/>
            <w:sz w:val="22"/>
            <w:szCs w:val="22"/>
            <w:u w:val="single"/>
          </w:rPr>
          <w:t>https://www.em.gov.lv/en/article/almost-3-million-euros-additional-funding-foreign-film-production-latvia</w:t>
        </w:r>
      </w:hyperlink>
      <w:r w:rsidRPr="001D3882">
        <w:rPr>
          <w:rStyle w:val="normaltextrun"/>
          <w:rFonts w:ascii="Arial" w:eastAsiaTheme="majorEastAsia" w:hAnsi="Arial" w:cs="Arial"/>
          <w:sz w:val="22"/>
          <w:szCs w:val="22"/>
        </w:rPr>
        <w:t xml:space="preserve"> (accessed: 19 June 2024).</w:t>
      </w:r>
      <w:r w:rsidRPr="001D3882">
        <w:rPr>
          <w:rStyle w:val="eop"/>
          <w:rFonts w:ascii="Arial" w:eastAsiaTheme="majorEastAsia" w:hAnsi="Arial" w:cs="Arial"/>
          <w:sz w:val="22"/>
          <w:szCs w:val="22"/>
          <w:lang w:val="en-US"/>
        </w:rPr>
        <w:t> </w:t>
      </w:r>
    </w:p>
    <w:p w14:paraId="1ECFE7DB"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sz w:val="22"/>
          <w:szCs w:val="22"/>
        </w:rPr>
        <w:t xml:space="preserve">Moir, G. (2023). </w:t>
      </w:r>
      <w:r w:rsidRPr="001D3882">
        <w:rPr>
          <w:rStyle w:val="normaltextrun"/>
          <w:rFonts w:ascii="Arial" w:eastAsiaTheme="majorEastAsia" w:hAnsi="Arial" w:cs="Arial"/>
          <w:i/>
          <w:iCs/>
          <w:sz w:val="22"/>
          <w:szCs w:val="22"/>
        </w:rPr>
        <w:t>European Electronic Communications Code Tracker</w:t>
      </w:r>
      <w:r w:rsidRPr="001D3882">
        <w:rPr>
          <w:rStyle w:val="normaltextrun"/>
          <w:rFonts w:ascii="Arial" w:eastAsiaTheme="majorEastAsia" w:hAnsi="Arial" w:cs="Arial"/>
          <w:sz w:val="22"/>
          <w:szCs w:val="22"/>
        </w:rPr>
        <w:t>. Wiggin LLP. Available: https://www.wiggin.co.uk/insight/european-electronic-communications-code-tracker/#:~:text=The%20EECC%20was%20meant%20to,opened%20infringement%20procedures%20against%20Latvia (accessed: 7 March 2024).</w:t>
      </w:r>
      <w:r w:rsidRPr="001D3882">
        <w:rPr>
          <w:rStyle w:val="eop"/>
          <w:rFonts w:ascii="Arial" w:eastAsiaTheme="majorEastAsia" w:hAnsi="Arial" w:cs="Arial"/>
          <w:sz w:val="22"/>
          <w:szCs w:val="22"/>
        </w:rPr>
        <w:t> </w:t>
      </w:r>
    </w:p>
    <w:p w14:paraId="28FE7595"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lang w:val="en-US"/>
        </w:rPr>
      </w:pPr>
      <w:r w:rsidRPr="001D3882">
        <w:rPr>
          <w:rStyle w:val="normaltextrun"/>
          <w:rFonts w:ascii="Arial" w:eastAsiaTheme="majorEastAsia" w:hAnsi="Arial" w:cs="Arial"/>
          <w:sz w:val="22"/>
          <w:szCs w:val="22"/>
        </w:rPr>
        <w:t xml:space="preserve">ReportLinker. (n.d.). </w:t>
      </w:r>
      <w:r w:rsidRPr="001D3882">
        <w:rPr>
          <w:rStyle w:val="normaltextrun"/>
          <w:rFonts w:ascii="Arial" w:eastAsiaTheme="majorEastAsia" w:hAnsi="Arial" w:cs="Arial"/>
          <w:i/>
          <w:iCs/>
          <w:sz w:val="22"/>
          <w:szCs w:val="22"/>
        </w:rPr>
        <w:t>Country Report for Latvia in Audiovisual Industry</w:t>
      </w:r>
      <w:r w:rsidRPr="001D3882">
        <w:rPr>
          <w:rStyle w:val="normaltextrun"/>
          <w:rFonts w:ascii="Arial" w:eastAsiaTheme="majorEastAsia" w:hAnsi="Arial" w:cs="Arial"/>
          <w:sz w:val="22"/>
          <w:szCs w:val="22"/>
        </w:rPr>
        <w:t xml:space="preserve">. ReportLinker. Available: </w:t>
      </w:r>
      <w:hyperlink r:id="rId182" w:tgtFrame="_blank" w:history="1">
        <w:r w:rsidRPr="001D3882">
          <w:rPr>
            <w:rStyle w:val="normaltextrun"/>
            <w:rFonts w:ascii="Arial" w:eastAsiaTheme="majorEastAsia" w:hAnsi="Arial" w:cs="Arial"/>
            <w:color w:val="0563C1"/>
            <w:sz w:val="22"/>
            <w:szCs w:val="22"/>
            <w:u w:val="single"/>
          </w:rPr>
          <w:t>https://www.reportlinker.com/clp/country/8480/726384</w:t>
        </w:r>
      </w:hyperlink>
      <w:r w:rsidRPr="001D3882">
        <w:rPr>
          <w:rStyle w:val="normaltextrun"/>
          <w:rFonts w:ascii="Arial" w:eastAsiaTheme="majorEastAsia" w:hAnsi="Arial" w:cs="Arial"/>
          <w:sz w:val="22"/>
          <w:szCs w:val="22"/>
        </w:rPr>
        <w:t xml:space="preserve"> (accessed: 19 June 2024).</w:t>
      </w:r>
      <w:r w:rsidRPr="001D3882">
        <w:rPr>
          <w:rStyle w:val="eop"/>
          <w:rFonts w:ascii="Arial" w:eastAsiaTheme="majorEastAsia" w:hAnsi="Arial" w:cs="Arial"/>
          <w:sz w:val="22"/>
          <w:szCs w:val="22"/>
          <w:lang w:val="en-US"/>
        </w:rPr>
        <w:t> </w:t>
      </w:r>
    </w:p>
    <w:p w14:paraId="44F1915F" w14:textId="77777777" w:rsidR="001D3882"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sz w:val="22"/>
          <w:szCs w:val="22"/>
        </w:rPr>
        <w:t xml:space="preserve">Rožukalne, A. (2022). </w:t>
      </w:r>
      <w:r w:rsidRPr="001D3882">
        <w:rPr>
          <w:rStyle w:val="normaltextrun"/>
          <w:rFonts w:ascii="Arial" w:eastAsiaTheme="majorEastAsia" w:hAnsi="Arial" w:cs="Arial"/>
          <w:color w:val="333333"/>
          <w:sz w:val="22"/>
          <w:szCs w:val="22"/>
        </w:rPr>
        <w:t xml:space="preserve">‘Country Report: Latvia’, in </w:t>
      </w:r>
      <w:r w:rsidRPr="001D3882">
        <w:rPr>
          <w:rStyle w:val="normaltextrun"/>
          <w:rFonts w:ascii="Arial" w:eastAsiaTheme="majorEastAsia" w:hAnsi="Arial" w:cs="Arial"/>
          <w:i/>
          <w:iCs/>
          <w:color w:val="333333"/>
          <w:sz w:val="22"/>
          <w:szCs w:val="22"/>
        </w:rPr>
        <w:t>Monitoring Media Pluralism in the Digital Era</w:t>
      </w:r>
      <w:r w:rsidRPr="001D3882">
        <w:rPr>
          <w:rStyle w:val="normaltextrun"/>
          <w:rFonts w:ascii="Arial" w:eastAsiaTheme="majorEastAsia" w:hAnsi="Arial" w:cs="Arial"/>
          <w:color w:val="333333"/>
          <w:sz w:val="22"/>
          <w:szCs w:val="22"/>
        </w:rPr>
        <w:t>.</w:t>
      </w:r>
      <w:r w:rsidRPr="001D3882">
        <w:rPr>
          <w:rStyle w:val="normaltextrun"/>
          <w:rFonts w:ascii="Arial" w:eastAsiaTheme="majorEastAsia" w:hAnsi="Arial" w:cs="Arial"/>
          <w:i/>
          <w:iCs/>
          <w:color w:val="333333"/>
          <w:sz w:val="22"/>
          <w:szCs w:val="22"/>
        </w:rPr>
        <w:t xml:space="preserve"> </w:t>
      </w:r>
      <w:r w:rsidRPr="001D3882">
        <w:rPr>
          <w:rStyle w:val="normaltextrun"/>
          <w:rFonts w:ascii="Arial" w:eastAsiaTheme="majorEastAsia" w:hAnsi="Arial" w:cs="Arial"/>
          <w:color w:val="333333"/>
          <w:sz w:val="22"/>
          <w:szCs w:val="22"/>
        </w:rPr>
        <w:t>Florence: Centre for Media Pluralism and Media Freedom (CMPF)</w:t>
      </w:r>
      <w:r w:rsidRPr="001D3882">
        <w:rPr>
          <w:rStyle w:val="normaltextrun"/>
          <w:rFonts w:ascii="Arial" w:eastAsiaTheme="majorEastAsia" w:hAnsi="Arial" w:cs="Arial"/>
          <w:sz w:val="22"/>
          <w:szCs w:val="22"/>
        </w:rPr>
        <w:t xml:space="preserve">, Media Pluralism Monitor (MPM). Available: </w:t>
      </w:r>
      <w:hyperlink r:id="rId183" w:tgtFrame="_blank" w:history="1">
        <w:r w:rsidRPr="001D3882">
          <w:rPr>
            <w:rStyle w:val="normaltextrun"/>
            <w:rFonts w:ascii="Arial" w:eastAsiaTheme="majorEastAsia" w:hAnsi="Arial" w:cs="Arial"/>
            <w:color w:val="0563C1"/>
            <w:sz w:val="22"/>
            <w:szCs w:val="22"/>
            <w:u w:val="single"/>
          </w:rPr>
          <w:t>https://cadmus.eui.eu/handle/1814/74695</w:t>
        </w:r>
      </w:hyperlink>
      <w:r w:rsidRPr="001D3882">
        <w:rPr>
          <w:rStyle w:val="normaltextrun"/>
          <w:rFonts w:ascii="Arial" w:eastAsiaTheme="majorEastAsia" w:hAnsi="Arial" w:cs="Arial"/>
          <w:sz w:val="22"/>
          <w:szCs w:val="22"/>
        </w:rPr>
        <w:t xml:space="preserve"> (accessed: 26 September 2022).</w:t>
      </w:r>
      <w:r w:rsidRPr="001D3882">
        <w:rPr>
          <w:rStyle w:val="eop"/>
          <w:rFonts w:ascii="Arial" w:eastAsiaTheme="majorEastAsia" w:hAnsi="Arial" w:cs="Arial"/>
          <w:sz w:val="22"/>
          <w:szCs w:val="22"/>
        </w:rPr>
        <w:t> </w:t>
      </w:r>
    </w:p>
    <w:p w14:paraId="31FB3FB4" w14:textId="5FD24CDA" w:rsidR="00475121" w:rsidRPr="001D3882" w:rsidRDefault="001D3882" w:rsidP="00194796">
      <w:pPr>
        <w:pStyle w:val="paragraph"/>
        <w:spacing w:before="0" w:beforeAutospacing="0" w:after="80" w:afterAutospacing="0"/>
        <w:ind w:left="720" w:hanging="720"/>
        <w:textAlignment w:val="baseline"/>
        <w:rPr>
          <w:rFonts w:ascii="Arial" w:hAnsi="Arial" w:cs="Arial"/>
          <w:sz w:val="18"/>
          <w:szCs w:val="18"/>
        </w:rPr>
      </w:pPr>
      <w:r w:rsidRPr="001D3882">
        <w:rPr>
          <w:rStyle w:val="normaltextrun"/>
          <w:rFonts w:ascii="Arial" w:eastAsiaTheme="majorEastAsia" w:hAnsi="Arial" w:cs="Arial"/>
          <w:sz w:val="22"/>
          <w:szCs w:val="22"/>
        </w:rPr>
        <w:t xml:space="preserve">Rožukalne, A. (2023). </w:t>
      </w:r>
      <w:r w:rsidRPr="001D3882">
        <w:rPr>
          <w:rStyle w:val="normaltextrun"/>
          <w:rFonts w:ascii="Arial" w:eastAsiaTheme="majorEastAsia" w:hAnsi="Arial" w:cs="Arial"/>
          <w:color w:val="333333"/>
          <w:sz w:val="22"/>
          <w:szCs w:val="22"/>
        </w:rPr>
        <w:t xml:space="preserve">‘Country Report: Latvia’, in </w:t>
      </w:r>
      <w:r w:rsidRPr="001D3882">
        <w:rPr>
          <w:rStyle w:val="normaltextrun"/>
          <w:rFonts w:ascii="Arial" w:eastAsiaTheme="majorEastAsia" w:hAnsi="Arial" w:cs="Arial"/>
          <w:i/>
          <w:iCs/>
          <w:color w:val="333333"/>
          <w:sz w:val="22"/>
          <w:szCs w:val="22"/>
        </w:rPr>
        <w:t>Monitoring Media Pluralism in the Digital Era</w:t>
      </w:r>
      <w:r w:rsidRPr="001D3882">
        <w:rPr>
          <w:rStyle w:val="normaltextrun"/>
          <w:rFonts w:ascii="Arial" w:eastAsiaTheme="majorEastAsia" w:hAnsi="Arial" w:cs="Arial"/>
          <w:color w:val="333333"/>
          <w:sz w:val="22"/>
          <w:szCs w:val="22"/>
        </w:rPr>
        <w:t>.</w:t>
      </w:r>
      <w:r w:rsidRPr="001D3882">
        <w:rPr>
          <w:rStyle w:val="normaltextrun"/>
          <w:rFonts w:ascii="Arial" w:eastAsiaTheme="majorEastAsia" w:hAnsi="Arial" w:cs="Arial"/>
          <w:i/>
          <w:iCs/>
          <w:color w:val="333333"/>
          <w:sz w:val="22"/>
          <w:szCs w:val="22"/>
        </w:rPr>
        <w:t xml:space="preserve"> </w:t>
      </w:r>
      <w:r w:rsidRPr="001D3882">
        <w:rPr>
          <w:rStyle w:val="normaltextrun"/>
          <w:rFonts w:ascii="Arial" w:eastAsiaTheme="majorEastAsia" w:hAnsi="Arial" w:cs="Arial"/>
          <w:color w:val="333333"/>
          <w:sz w:val="22"/>
          <w:szCs w:val="22"/>
        </w:rPr>
        <w:t>Florence: Centre for Media Pluralism and Media Freedom (CMPF)</w:t>
      </w:r>
      <w:r w:rsidRPr="001D3882">
        <w:rPr>
          <w:rStyle w:val="normaltextrun"/>
          <w:rFonts w:ascii="Arial" w:eastAsiaTheme="majorEastAsia" w:hAnsi="Arial" w:cs="Arial"/>
          <w:sz w:val="22"/>
          <w:szCs w:val="22"/>
        </w:rPr>
        <w:t xml:space="preserve">, Media Pluralism Monitor (MPM). Available: </w:t>
      </w:r>
      <w:hyperlink r:id="rId184" w:tgtFrame="_blank" w:history="1">
        <w:r w:rsidRPr="001D3882">
          <w:rPr>
            <w:rStyle w:val="normaltextrun"/>
            <w:rFonts w:ascii="Arial" w:eastAsiaTheme="majorEastAsia" w:hAnsi="Arial" w:cs="Arial"/>
            <w:color w:val="0563C1"/>
            <w:sz w:val="22"/>
            <w:szCs w:val="22"/>
            <w:u w:val="single"/>
          </w:rPr>
          <w:t>https://cadmus.eui.eu/bitstream/handle/1814/75728/Latvia_results_mpm_2023_cmpf%20%281%29.pdf?sequence=1&amp;isAllowed=y</w:t>
        </w:r>
      </w:hyperlink>
      <w:r w:rsidRPr="001D3882">
        <w:rPr>
          <w:rStyle w:val="normaltextrun"/>
          <w:rFonts w:ascii="Arial" w:eastAsiaTheme="majorEastAsia" w:hAnsi="Arial" w:cs="Arial"/>
          <w:sz w:val="22"/>
          <w:szCs w:val="22"/>
        </w:rPr>
        <w:t>  (accessed: 2</w:t>
      </w:r>
      <w:r w:rsidRPr="001D3882">
        <w:rPr>
          <w:rStyle w:val="normaltextrun"/>
          <w:rFonts w:ascii="Arial" w:eastAsiaTheme="majorEastAsia" w:hAnsi="Arial" w:cs="Arial"/>
          <w:sz w:val="17"/>
          <w:szCs w:val="17"/>
          <w:vertAlign w:val="superscript"/>
        </w:rPr>
        <w:t>nd</w:t>
      </w:r>
      <w:r w:rsidRPr="001D3882">
        <w:rPr>
          <w:rStyle w:val="normaltextrun"/>
          <w:rFonts w:ascii="Arial" w:eastAsiaTheme="majorEastAsia" w:hAnsi="Arial" w:cs="Arial"/>
          <w:sz w:val="22"/>
          <w:szCs w:val="22"/>
        </w:rPr>
        <w:t xml:space="preserve"> November 2023).</w:t>
      </w:r>
      <w:r w:rsidRPr="001D3882">
        <w:rPr>
          <w:rStyle w:val="eop"/>
          <w:rFonts w:ascii="Arial" w:eastAsiaTheme="majorEastAsia" w:hAnsi="Arial" w:cs="Arial"/>
          <w:sz w:val="22"/>
          <w:szCs w:val="22"/>
        </w:rPr>
        <w:t> </w:t>
      </w:r>
    </w:p>
    <w:p w14:paraId="55C4707E" w14:textId="6C1C7606" w:rsidR="001D3882" w:rsidRPr="001D3882" w:rsidRDefault="00475121" w:rsidP="00194796">
      <w:pPr>
        <w:spacing w:after="80" w:line="240" w:lineRule="auto"/>
        <w:ind w:left="270" w:hanging="270"/>
        <w:textAlignment w:val="baseline"/>
        <w:rPr>
          <w:rFonts w:eastAsia="Times New Roman"/>
          <w:lang w:eastAsia="en-GB"/>
        </w:rPr>
      </w:pPr>
      <w:r w:rsidRPr="001D3882">
        <w:rPr>
          <w:rFonts w:eastAsia="Times New Roman"/>
          <w:lang w:val="en-US" w:eastAsia="en-GB"/>
        </w:rPr>
        <w:t xml:space="preserve">Society for Computers and Law. (2024). </w:t>
      </w:r>
      <w:r w:rsidRPr="001D3882">
        <w:rPr>
          <w:rFonts w:eastAsia="Times New Roman"/>
          <w:i/>
          <w:iCs/>
          <w:lang w:val="en-US" w:eastAsia="en-GB"/>
        </w:rPr>
        <w:t>European Commission and Consumer Authorities Investigate Online Influencers</w:t>
      </w:r>
      <w:r w:rsidRPr="001D3882">
        <w:rPr>
          <w:rFonts w:eastAsia="Times New Roman"/>
          <w:lang w:val="en-US" w:eastAsia="en-GB"/>
        </w:rPr>
        <w:t xml:space="preserve">. Bristol: Society for Computers and Law. Available: </w:t>
      </w:r>
      <w:hyperlink r:id="rId185" w:anchor=":~:text=In%20addition%2C%20influencers%20who%20sell,into%20force%20in%20the%20EU" w:tgtFrame="_blank" w:history="1">
        <w:r w:rsidRPr="001D3882">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1D3882">
        <w:rPr>
          <w:rFonts w:eastAsia="Times New Roman"/>
          <w:lang w:val="en-US" w:eastAsia="en-GB"/>
        </w:rPr>
        <w:t xml:space="preserve"> (accessed: 14 May 2024).</w:t>
      </w:r>
      <w:r w:rsidRPr="001D3882">
        <w:rPr>
          <w:rFonts w:eastAsia="Times New Roman"/>
          <w:lang w:eastAsia="en-GB"/>
        </w:rPr>
        <w:t> </w:t>
      </w:r>
    </w:p>
    <w:p w14:paraId="1C39E30B" w14:textId="1AE8C5BC" w:rsidR="00475121" w:rsidRPr="001D3882" w:rsidRDefault="00475121" w:rsidP="00194796">
      <w:pPr>
        <w:spacing w:after="80" w:line="240" w:lineRule="auto"/>
        <w:ind w:left="270" w:hanging="270"/>
        <w:textAlignment w:val="baseline"/>
        <w:rPr>
          <w:rFonts w:eastAsia="Times New Roman"/>
          <w:lang w:eastAsia="en-GB"/>
        </w:rPr>
      </w:pPr>
      <w:r w:rsidRPr="001D3882">
        <w:rPr>
          <w:rFonts w:eastAsia="Times New Roman"/>
          <w:lang w:val="de-DE" w:eastAsia="en-GB"/>
        </w:rPr>
        <w:lastRenderedPageBreak/>
        <w:t xml:space="preserve">von Rimscha, M. B. (2024). Regulierung von Werbeinhalten [Regulation of Advertising Content]. In H. Gundlach (ed.), </w:t>
      </w:r>
      <w:r w:rsidRPr="001D3882">
        <w:rPr>
          <w:rFonts w:eastAsia="Times New Roman"/>
          <w:i/>
          <w:iCs/>
          <w:lang w:val="de-DE" w:eastAsia="en-GB"/>
        </w:rPr>
        <w:t>Handbuch Medienregulierung: Handbuch für Wissenschaft und Studium</w:t>
      </w:r>
      <w:r w:rsidRPr="001D3882">
        <w:rPr>
          <w:rFonts w:eastAsia="Times New Roman"/>
          <w:lang w:val="de-DE" w:eastAsia="en-GB"/>
        </w:rPr>
        <w:t xml:space="preserve"> (Upcoming).</w:t>
      </w:r>
      <w:r w:rsidRPr="001D3882">
        <w:rPr>
          <w:rFonts w:eastAsia="Times New Roman"/>
          <w:lang w:eastAsia="en-GB"/>
        </w:rPr>
        <w:t> </w:t>
      </w:r>
    </w:p>
    <w:p w14:paraId="6EF67305" w14:textId="0C1DC06C" w:rsidR="001D3882" w:rsidRPr="001D3882" w:rsidRDefault="001D3882" w:rsidP="00194796">
      <w:pPr>
        <w:spacing w:after="80" w:line="240" w:lineRule="auto"/>
        <w:ind w:left="272" w:hanging="272"/>
        <w:textAlignment w:val="baseline"/>
        <w:rPr>
          <w:rFonts w:eastAsia="Times New Roman"/>
          <w:sz w:val="18"/>
          <w:szCs w:val="18"/>
          <w:lang w:eastAsia="en-GB"/>
        </w:rPr>
      </w:pPr>
      <w:r w:rsidRPr="001D3882">
        <w:rPr>
          <w:rStyle w:val="normaltextrun"/>
          <w:color w:val="000000"/>
          <w:shd w:val="clear" w:color="auto" w:fill="FFFFFF"/>
        </w:rPr>
        <w:t xml:space="preserve">World Bank, The. 2021/2022. </w:t>
      </w:r>
      <w:r w:rsidRPr="001D3882">
        <w:rPr>
          <w:rStyle w:val="normaltextrun"/>
          <w:i/>
          <w:iCs/>
          <w:color w:val="000000"/>
          <w:shd w:val="clear" w:color="auto" w:fill="FFFFFF"/>
        </w:rPr>
        <w:t>World Development Indicators: The World by Income and Region</w:t>
      </w:r>
      <w:r w:rsidRPr="001D3882">
        <w:rPr>
          <w:rStyle w:val="normaltextrun"/>
          <w:color w:val="000000"/>
          <w:shd w:val="clear" w:color="auto" w:fill="FFFFFF"/>
        </w:rPr>
        <w:t xml:space="preserve">. Washington: The World Bank. Available: </w:t>
      </w:r>
      <w:hyperlink r:id="rId186" w:anchor=":~:text=The%20World%20Bank%20classifies%20economies%20for%20analytical%20purposes,which%20is%20applied%20to%20smooth%20exchange%20rate%20fluctuations" w:tgtFrame="_blank" w:history="1">
        <w:r w:rsidRPr="001D3882">
          <w:rPr>
            <w:rStyle w:val="normaltextrun"/>
            <w:color w:val="0563C1"/>
            <w:u w:val="single"/>
            <w:shd w:val="clear" w:color="auto" w:fill="FFFFFF"/>
          </w:rPr>
          <w:t>https://datatopics.worldbank.org/world-development-indicators/the-world-by-income-and-region.html#:~:text=The%20World%20Bank%20classifies%20economies%20for%20analytical%20purposes,which%20is%20applied%20to%20smooth%20exchange%20rate%20fluctuations</w:t>
        </w:r>
      </w:hyperlink>
      <w:r w:rsidRPr="001D3882">
        <w:rPr>
          <w:rStyle w:val="normaltextrun"/>
          <w:color w:val="000000"/>
          <w:shd w:val="clear" w:color="auto" w:fill="FFFFFF"/>
        </w:rPr>
        <w:t xml:space="preserve"> (accessed: 12 December 2022).</w:t>
      </w:r>
      <w:r w:rsidRPr="001D3882">
        <w:rPr>
          <w:rStyle w:val="eop"/>
          <w:color w:val="000000"/>
          <w:shd w:val="clear" w:color="auto" w:fill="FFFFFF"/>
        </w:rPr>
        <w:t> </w:t>
      </w:r>
    </w:p>
    <w:p w14:paraId="4B92C29A" w14:textId="77777777" w:rsidR="00475121" w:rsidRPr="00D5095D" w:rsidRDefault="00475121" w:rsidP="00194796">
      <w:pPr>
        <w:pStyle w:val="Tableheadings"/>
        <w:spacing w:after="80" w:line="240" w:lineRule="auto"/>
      </w:pPr>
    </w:p>
    <w:sectPr w:rsidR="00475121" w:rsidRPr="00D5095D" w:rsidSect="000D63FE">
      <w:headerReference w:type="default" r:id="rId187"/>
      <w:footerReference w:type="first" r:id="rId188"/>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55C85" w14:textId="77777777" w:rsidR="007F30B5" w:rsidRDefault="007F30B5" w:rsidP="00CB5035">
      <w:pPr>
        <w:spacing w:after="0" w:line="240" w:lineRule="auto"/>
      </w:pPr>
      <w:r>
        <w:separator/>
      </w:r>
    </w:p>
  </w:endnote>
  <w:endnote w:type="continuationSeparator" w:id="0">
    <w:p w14:paraId="3CFE7E9C" w14:textId="77777777" w:rsidR="007F30B5" w:rsidRDefault="007F30B5"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notTrueType/>
    <w:pitch w:val="default"/>
  </w:font>
  <w:font w:name="Helvetica Neue">
    <w:altName w:val="Arial"/>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ACFF"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1D3882" w:rsidRDefault="001D3882"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3874C9" w14:textId="77777777" w:rsidR="007F30B5" w:rsidRDefault="007F30B5" w:rsidP="00CB5035">
      <w:pPr>
        <w:spacing w:after="0" w:line="240" w:lineRule="auto"/>
      </w:pPr>
      <w:r>
        <w:separator/>
      </w:r>
    </w:p>
  </w:footnote>
  <w:footnote w:type="continuationSeparator" w:id="0">
    <w:p w14:paraId="7DF053DA" w14:textId="77777777" w:rsidR="007F30B5" w:rsidRDefault="007F30B5"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Content>
      <w:p w14:paraId="6CC362E6" w14:textId="48355DA1" w:rsidR="001D3882" w:rsidRPr="0016559B" w:rsidRDefault="001D3882"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744BBEA4" w:rsidR="001D3882" w:rsidRPr="00CB5035" w:rsidRDefault="001D3882"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Latvia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D676CAC"/>
    <w:multiLevelType w:val="multilevel"/>
    <w:tmpl w:val="A4249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F7E7C74"/>
    <w:multiLevelType w:val="hybridMultilevel"/>
    <w:tmpl w:val="A7BA32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A02ED0"/>
    <w:multiLevelType w:val="multilevel"/>
    <w:tmpl w:val="2334F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ACE7768"/>
    <w:multiLevelType w:val="hybridMultilevel"/>
    <w:tmpl w:val="38406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AE16AAC"/>
    <w:multiLevelType w:val="hybridMultilevel"/>
    <w:tmpl w:val="1B0C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FDE0E00"/>
    <w:multiLevelType w:val="hybridMultilevel"/>
    <w:tmpl w:val="B4F495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0" w15:restartNumberingAfterBreak="0">
    <w:nsid w:val="3AB15DD7"/>
    <w:multiLevelType w:val="hybridMultilevel"/>
    <w:tmpl w:val="8BA83F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EA30CBD"/>
    <w:multiLevelType w:val="hybridMultilevel"/>
    <w:tmpl w:val="D5F6C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7"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EEA0FD1"/>
    <w:multiLevelType w:val="hybridMultilevel"/>
    <w:tmpl w:val="FD2AD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5983607"/>
    <w:multiLevelType w:val="multilevel"/>
    <w:tmpl w:val="DB026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87F18AB"/>
    <w:multiLevelType w:val="hybridMultilevel"/>
    <w:tmpl w:val="18D280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92A4D0B"/>
    <w:multiLevelType w:val="multilevel"/>
    <w:tmpl w:val="BFB89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C887C7F"/>
    <w:multiLevelType w:val="multilevel"/>
    <w:tmpl w:val="DD6C1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30" w15:restartNumberingAfterBreak="0">
    <w:nsid w:val="7AE164EE"/>
    <w:multiLevelType w:val="multilevel"/>
    <w:tmpl w:val="B9601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63477797">
    <w:abstractNumId w:val="9"/>
  </w:num>
  <w:num w:numId="2" w16cid:durableId="102189523">
    <w:abstractNumId w:val="29"/>
  </w:num>
  <w:num w:numId="3" w16cid:durableId="1630437270">
    <w:abstractNumId w:val="18"/>
  </w:num>
  <w:num w:numId="4" w16cid:durableId="728461065">
    <w:abstractNumId w:val="16"/>
  </w:num>
  <w:num w:numId="5" w16cid:durableId="323513050">
    <w:abstractNumId w:val="23"/>
  </w:num>
  <w:num w:numId="6" w16cid:durableId="1738740706">
    <w:abstractNumId w:val="12"/>
  </w:num>
  <w:num w:numId="7" w16cid:durableId="864294936">
    <w:abstractNumId w:val="26"/>
  </w:num>
  <w:num w:numId="8" w16cid:durableId="45379716">
    <w:abstractNumId w:val="0"/>
  </w:num>
  <w:num w:numId="9" w16cid:durableId="890847256">
    <w:abstractNumId w:val="1"/>
  </w:num>
  <w:num w:numId="10" w16cid:durableId="1261063093">
    <w:abstractNumId w:val="17"/>
  </w:num>
  <w:num w:numId="11" w16cid:durableId="1945460368">
    <w:abstractNumId w:val="20"/>
  </w:num>
  <w:num w:numId="12" w16cid:durableId="198399348">
    <w:abstractNumId w:val="11"/>
  </w:num>
  <w:num w:numId="13" w16cid:durableId="151651656">
    <w:abstractNumId w:val="7"/>
  </w:num>
  <w:num w:numId="14" w16cid:durableId="1976981483">
    <w:abstractNumId w:val="22"/>
  </w:num>
  <w:num w:numId="15" w16cid:durableId="1245189282">
    <w:abstractNumId w:val="13"/>
  </w:num>
  <w:num w:numId="16" w16cid:durableId="476803308">
    <w:abstractNumId w:val="14"/>
  </w:num>
  <w:num w:numId="17" w16cid:durableId="809521927">
    <w:abstractNumId w:val="19"/>
  </w:num>
  <w:num w:numId="18" w16cid:durableId="1363897086">
    <w:abstractNumId w:val="24"/>
  </w:num>
  <w:num w:numId="19" w16cid:durableId="1087767263">
    <w:abstractNumId w:val="5"/>
  </w:num>
  <w:num w:numId="20" w16cid:durableId="519315553">
    <w:abstractNumId w:val="30"/>
  </w:num>
  <w:num w:numId="21" w16cid:durableId="148329607">
    <w:abstractNumId w:val="4"/>
  </w:num>
  <w:num w:numId="22" w16cid:durableId="2131706988">
    <w:abstractNumId w:val="15"/>
  </w:num>
  <w:num w:numId="23" w16cid:durableId="1208834564">
    <w:abstractNumId w:val="25"/>
  </w:num>
  <w:num w:numId="24" w16cid:durableId="1332634557">
    <w:abstractNumId w:val="2"/>
  </w:num>
  <w:num w:numId="25" w16cid:durableId="919363554">
    <w:abstractNumId w:val="8"/>
  </w:num>
  <w:num w:numId="26" w16cid:durableId="426078132">
    <w:abstractNumId w:val="10"/>
  </w:num>
  <w:num w:numId="27" w16cid:durableId="654800240">
    <w:abstractNumId w:val="27"/>
  </w:num>
  <w:num w:numId="28" w16cid:durableId="701592669">
    <w:abstractNumId w:val="21"/>
  </w:num>
  <w:num w:numId="29" w16cid:durableId="430013603">
    <w:abstractNumId w:val="28"/>
  </w:num>
  <w:num w:numId="30" w16cid:durableId="474110173">
    <w:abstractNumId w:val="3"/>
  </w:num>
  <w:num w:numId="31" w16cid:durableId="9347486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1AD0"/>
    <w:rsid w:val="000173F0"/>
    <w:rsid w:val="00024AB0"/>
    <w:rsid w:val="00025818"/>
    <w:rsid w:val="00036FF9"/>
    <w:rsid w:val="000674B7"/>
    <w:rsid w:val="00084A9E"/>
    <w:rsid w:val="00087DB1"/>
    <w:rsid w:val="00091100"/>
    <w:rsid w:val="000A52F4"/>
    <w:rsid w:val="000A78D6"/>
    <w:rsid w:val="000D0D7E"/>
    <w:rsid w:val="000D1BAA"/>
    <w:rsid w:val="000D20CC"/>
    <w:rsid w:val="000D63FE"/>
    <w:rsid w:val="000E3633"/>
    <w:rsid w:val="000F2B22"/>
    <w:rsid w:val="000F4BA5"/>
    <w:rsid w:val="001224E4"/>
    <w:rsid w:val="00123C17"/>
    <w:rsid w:val="00123F66"/>
    <w:rsid w:val="00130DE6"/>
    <w:rsid w:val="00170454"/>
    <w:rsid w:val="001747D6"/>
    <w:rsid w:val="00175614"/>
    <w:rsid w:val="0018415B"/>
    <w:rsid w:val="001902B4"/>
    <w:rsid w:val="00194796"/>
    <w:rsid w:val="001A52C7"/>
    <w:rsid w:val="001A5A18"/>
    <w:rsid w:val="001B6A2D"/>
    <w:rsid w:val="001C71EA"/>
    <w:rsid w:val="001D3882"/>
    <w:rsid w:val="001E6AB2"/>
    <w:rsid w:val="001E71EB"/>
    <w:rsid w:val="00203503"/>
    <w:rsid w:val="002036C5"/>
    <w:rsid w:val="002073BF"/>
    <w:rsid w:val="00230580"/>
    <w:rsid w:val="00242DEA"/>
    <w:rsid w:val="00257F09"/>
    <w:rsid w:val="00261858"/>
    <w:rsid w:val="00265191"/>
    <w:rsid w:val="00280B57"/>
    <w:rsid w:val="0028141F"/>
    <w:rsid w:val="00291EED"/>
    <w:rsid w:val="00294389"/>
    <w:rsid w:val="002A238A"/>
    <w:rsid w:val="002C125F"/>
    <w:rsid w:val="002C19FA"/>
    <w:rsid w:val="002E3655"/>
    <w:rsid w:val="002F41AF"/>
    <w:rsid w:val="00301103"/>
    <w:rsid w:val="003035C7"/>
    <w:rsid w:val="00303920"/>
    <w:rsid w:val="00305480"/>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93CCE"/>
    <w:rsid w:val="003974DD"/>
    <w:rsid w:val="003A19BC"/>
    <w:rsid w:val="003A2DAE"/>
    <w:rsid w:val="003C3F7D"/>
    <w:rsid w:val="003D0506"/>
    <w:rsid w:val="003D3F51"/>
    <w:rsid w:val="003E1666"/>
    <w:rsid w:val="003E47F1"/>
    <w:rsid w:val="00403A01"/>
    <w:rsid w:val="00405A8F"/>
    <w:rsid w:val="00405D10"/>
    <w:rsid w:val="00414CD2"/>
    <w:rsid w:val="004239C6"/>
    <w:rsid w:val="00424EE4"/>
    <w:rsid w:val="00440862"/>
    <w:rsid w:val="004513EF"/>
    <w:rsid w:val="00454DD4"/>
    <w:rsid w:val="00462C9F"/>
    <w:rsid w:val="004745EA"/>
    <w:rsid w:val="00475121"/>
    <w:rsid w:val="00475573"/>
    <w:rsid w:val="00493B26"/>
    <w:rsid w:val="00497630"/>
    <w:rsid w:val="004A4073"/>
    <w:rsid w:val="004A5C6A"/>
    <w:rsid w:val="004B0364"/>
    <w:rsid w:val="004C2A2B"/>
    <w:rsid w:val="004D0D1C"/>
    <w:rsid w:val="004D7135"/>
    <w:rsid w:val="004F0B6F"/>
    <w:rsid w:val="004F7DF9"/>
    <w:rsid w:val="0050499D"/>
    <w:rsid w:val="0050578D"/>
    <w:rsid w:val="005066B0"/>
    <w:rsid w:val="0051403E"/>
    <w:rsid w:val="00533017"/>
    <w:rsid w:val="005372F1"/>
    <w:rsid w:val="00542A2C"/>
    <w:rsid w:val="00544E52"/>
    <w:rsid w:val="0056173F"/>
    <w:rsid w:val="00565061"/>
    <w:rsid w:val="00566A9E"/>
    <w:rsid w:val="00587B92"/>
    <w:rsid w:val="00592538"/>
    <w:rsid w:val="00593EEB"/>
    <w:rsid w:val="005A06EA"/>
    <w:rsid w:val="005A5AF2"/>
    <w:rsid w:val="005C4DA3"/>
    <w:rsid w:val="005D4AEB"/>
    <w:rsid w:val="005E0C1A"/>
    <w:rsid w:val="005E40F5"/>
    <w:rsid w:val="005F05C3"/>
    <w:rsid w:val="005F3475"/>
    <w:rsid w:val="005F4D68"/>
    <w:rsid w:val="00610E7C"/>
    <w:rsid w:val="0061668B"/>
    <w:rsid w:val="00616C4F"/>
    <w:rsid w:val="00631991"/>
    <w:rsid w:val="00635C53"/>
    <w:rsid w:val="0065030F"/>
    <w:rsid w:val="006771EA"/>
    <w:rsid w:val="00682A54"/>
    <w:rsid w:val="00686D2A"/>
    <w:rsid w:val="0069024D"/>
    <w:rsid w:val="00693A1A"/>
    <w:rsid w:val="006943EA"/>
    <w:rsid w:val="00695889"/>
    <w:rsid w:val="00695DEB"/>
    <w:rsid w:val="006A2D6F"/>
    <w:rsid w:val="006A6461"/>
    <w:rsid w:val="006C07EB"/>
    <w:rsid w:val="006D6B7B"/>
    <w:rsid w:val="006D6FCB"/>
    <w:rsid w:val="006E02D3"/>
    <w:rsid w:val="006E0408"/>
    <w:rsid w:val="006F0366"/>
    <w:rsid w:val="006F5D2F"/>
    <w:rsid w:val="00703A7B"/>
    <w:rsid w:val="0071096D"/>
    <w:rsid w:val="007179A5"/>
    <w:rsid w:val="00731726"/>
    <w:rsid w:val="00732CCD"/>
    <w:rsid w:val="0073470E"/>
    <w:rsid w:val="0073703E"/>
    <w:rsid w:val="007402B6"/>
    <w:rsid w:val="00745D31"/>
    <w:rsid w:val="00747689"/>
    <w:rsid w:val="00751111"/>
    <w:rsid w:val="00766B69"/>
    <w:rsid w:val="007706CA"/>
    <w:rsid w:val="00776DCB"/>
    <w:rsid w:val="00776FE6"/>
    <w:rsid w:val="00777481"/>
    <w:rsid w:val="007861BA"/>
    <w:rsid w:val="00786213"/>
    <w:rsid w:val="00790884"/>
    <w:rsid w:val="00794344"/>
    <w:rsid w:val="007B253B"/>
    <w:rsid w:val="007C0CD2"/>
    <w:rsid w:val="007C2B03"/>
    <w:rsid w:val="007D008B"/>
    <w:rsid w:val="007D344D"/>
    <w:rsid w:val="007D54D6"/>
    <w:rsid w:val="007D5857"/>
    <w:rsid w:val="007F30B5"/>
    <w:rsid w:val="00810206"/>
    <w:rsid w:val="0081091B"/>
    <w:rsid w:val="008146FD"/>
    <w:rsid w:val="0081774C"/>
    <w:rsid w:val="00832DB0"/>
    <w:rsid w:val="008378E8"/>
    <w:rsid w:val="008459E6"/>
    <w:rsid w:val="00854088"/>
    <w:rsid w:val="00865C84"/>
    <w:rsid w:val="0087539C"/>
    <w:rsid w:val="008763FD"/>
    <w:rsid w:val="0088057A"/>
    <w:rsid w:val="00880DD6"/>
    <w:rsid w:val="00880FEF"/>
    <w:rsid w:val="00881DE3"/>
    <w:rsid w:val="00887711"/>
    <w:rsid w:val="00890751"/>
    <w:rsid w:val="008952F2"/>
    <w:rsid w:val="008A4517"/>
    <w:rsid w:val="008C6F9B"/>
    <w:rsid w:val="008C6FA9"/>
    <w:rsid w:val="008D27DF"/>
    <w:rsid w:val="008E179F"/>
    <w:rsid w:val="008E3C69"/>
    <w:rsid w:val="008E72A6"/>
    <w:rsid w:val="009143BA"/>
    <w:rsid w:val="0091506D"/>
    <w:rsid w:val="0093305E"/>
    <w:rsid w:val="00942B24"/>
    <w:rsid w:val="009521E3"/>
    <w:rsid w:val="00954313"/>
    <w:rsid w:val="009553F2"/>
    <w:rsid w:val="00955813"/>
    <w:rsid w:val="00963ED0"/>
    <w:rsid w:val="00972E90"/>
    <w:rsid w:val="009742CF"/>
    <w:rsid w:val="0098472F"/>
    <w:rsid w:val="009A7161"/>
    <w:rsid w:val="009B6C29"/>
    <w:rsid w:val="009B7219"/>
    <w:rsid w:val="009E1808"/>
    <w:rsid w:val="009F40CC"/>
    <w:rsid w:val="00A0365B"/>
    <w:rsid w:val="00A055C2"/>
    <w:rsid w:val="00A169F5"/>
    <w:rsid w:val="00A24B81"/>
    <w:rsid w:val="00A34651"/>
    <w:rsid w:val="00A41D8F"/>
    <w:rsid w:val="00A43155"/>
    <w:rsid w:val="00A46F61"/>
    <w:rsid w:val="00A521A0"/>
    <w:rsid w:val="00A579EE"/>
    <w:rsid w:val="00A632DE"/>
    <w:rsid w:val="00A74615"/>
    <w:rsid w:val="00A752F0"/>
    <w:rsid w:val="00A84F49"/>
    <w:rsid w:val="00A95B08"/>
    <w:rsid w:val="00AA21EB"/>
    <w:rsid w:val="00AA6CC5"/>
    <w:rsid w:val="00AD163A"/>
    <w:rsid w:val="00AE3D31"/>
    <w:rsid w:val="00B03769"/>
    <w:rsid w:val="00B10ED0"/>
    <w:rsid w:val="00B343A7"/>
    <w:rsid w:val="00B3753C"/>
    <w:rsid w:val="00B4777B"/>
    <w:rsid w:val="00B5660E"/>
    <w:rsid w:val="00B63DBB"/>
    <w:rsid w:val="00B653BC"/>
    <w:rsid w:val="00B67C03"/>
    <w:rsid w:val="00B8084B"/>
    <w:rsid w:val="00B86D1B"/>
    <w:rsid w:val="00B96F8C"/>
    <w:rsid w:val="00BA0B3E"/>
    <w:rsid w:val="00BA30FC"/>
    <w:rsid w:val="00BA3508"/>
    <w:rsid w:val="00BA515F"/>
    <w:rsid w:val="00BB5706"/>
    <w:rsid w:val="00BC2547"/>
    <w:rsid w:val="00BC5223"/>
    <w:rsid w:val="00BE5233"/>
    <w:rsid w:val="00BE7143"/>
    <w:rsid w:val="00BF6506"/>
    <w:rsid w:val="00C014A1"/>
    <w:rsid w:val="00C13464"/>
    <w:rsid w:val="00C14C4C"/>
    <w:rsid w:val="00C22592"/>
    <w:rsid w:val="00C34644"/>
    <w:rsid w:val="00C43C89"/>
    <w:rsid w:val="00C45054"/>
    <w:rsid w:val="00C50A43"/>
    <w:rsid w:val="00C51054"/>
    <w:rsid w:val="00C51E00"/>
    <w:rsid w:val="00C845F3"/>
    <w:rsid w:val="00C9615F"/>
    <w:rsid w:val="00CA11D5"/>
    <w:rsid w:val="00CB2105"/>
    <w:rsid w:val="00CB46D4"/>
    <w:rsid w:val="00CB5035"/>
    <w:rsid w:val="00CB548B"/>
    <w:rsid w:val="00CC2745"/>
    <w:rsid w:val="00CD0651"/>
    <w:rsid w:val="00CE2231"/>
    <w:rsid w:val="00CE46BB"/>
    <w:rsid w:val="00CF62AF"/>
    <w:rsid w:val="00D03D57"/>
    <w:rsid w:val="00D064B9"/>
    <w:rsid w:val="00D11059"/>
    <w:rsid w:val="00D15589"/>
    <w:rsid w:val="00D21A60"/>
    <w:rsid w:val="00D22973"/>
    <w:rsid w:val="00D25F75"/>
    <w:rsid w:val="00D3084C"/>
    <w:rsid w:val="00D33AB3"/>
    <w:rsid w:val="00D47D24"/>
    <w:rsid w:val="00D5095D"/>
    <w:rsid w:val="00D60689"/>
    <w:rsid w:val="00D60778"/>
    <w:rsid w:val="00D63336"/>
    <w:rsid w:val="00D84FB9"/>
    <w:rsid w:val="00D91F60"/>
    <w:rsid w:val="00D96343"/>
    <w:rsid w:val="00DC061D"/>
    <w:rsid w:val="00DC4123"/>
    <w:rsid w:val="00DC6E12"/>
    <w:rsid w:val="00DD4A13"/>
    <w:rsid w:val="00DE0225"/>
    <w:rsid w:val="00DE2768"/>
    <w:rsid w:val="00E12F95"/>
    <w:rsid w:val="00E27C35"/>
    <w:rsid w:val="00E34F7F"/>
    <w:rsid w:val="00E37258"/>
    <w:rsid w:val="00E521E9"/>
    <w:rsid w:val="00E62DE5"/>
    <w:rsid w:val="00E7374A"/>
    <w:rsid w:val="00E833A6"/>
    <w:rsid w:val="00E972C2"/>
    <w:rsid w:val="00E97376"/>
    <w:rsid w:val="00E97C4D"/>
    <w:rsid w:val="00EA1243"/>
    <w:rsid w:val="00EB630F"/>
    <w:rsid w:val="00EE5DED"/>
    <w:rsid w:val="00EE67D5"/>
    <w:rsid w:val="00EE701D"/>
    <w:rsid w:val="00EE73B2"/>
    <w:rsid w:val="00F10F3F"/>
    <w:rsid w:val="00F11C67"/>
    <w:rsid w:val="00F31298"/>
    <w:rsid w:val="00F4103B"/>
    <w:rsid w:val="00F41FAB"/>
    <w:rsid w:val="00F52602"/>
    <w:rsid w:val="00F57C90"/>
    <w:rsid w:val="00F74EB0"/>
    <w:rsid w:val="00FB05E9"/>
    <w:rsid w:val="00FB0C75"/>
    <w:rsid w:val="00FB40D7"/>
    <w:rsid w:val="00FB6479"/>
    <w:rsid w:val="00FC3362"/>
    <w:rsid w:val="00FC4962"/>
    <w:rsid w:val="00FD6ABF"/>
    <w:rsid w:val="00FD6CC1"/>
    <w:rsid w:val="00FE5BD4"/>
    <w:rsid w:val="0E7FFA89"/>
    <w:rsid w:val="1342D17E"/>
    <w:rsid w:val="155949F6"/>
    <w:rsid w:val="1CE517BC"/>
    <w:rsid w:val="1D7FFA66"/>
    <w:rsid w:val="1ED3CD11"/>
    <w:rsid w:val="44ED3065"/>
    <w:rsid w:val="61D08E5D"/>
    <w:rsid w:val="6CADB27D"/>
    <w:rsid w:val="79C889BB"/>
    <w:rsid w:val="79E3BA68"/>
    <w:rsid w:val="7B3E3B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character" w:styleId="Hyperlink">
    <w:name w:val="Hyperlink"/>
    <w:basedOn w:val="DefaultParagraphFont"/>
    <w:uiPriority w:val="99"/>
    <w:unhideWhenUsed/>
    <w:rsid w:val="002C125F"/>
    <w:rPr>
      <w:color w:val="467886" w:themeColor="hyperlink"/>
      <w:u w:val="single"/>
    </w:rPr>
  </w:style>
  <w:style w:type="character" w:styleId="UnresolvedMention">
    <w:name w:val="Unresolved Mention"/>
    <w:basedOn w:val="DefaultParagraphFont"/>
    <w:uiPriority w:val="99"/>
    <w:semiHidden/>
    <w:unhideWhenUsed/>
    <w:rsid w:val="002C125F"/>
    <w:rPr>
      <w:color w:val="605E5C"/>
      <w:shd w:val="clear" w:color="auto" w:fill="E1DFDD"/>
    </w:rPr>
  </w:style>
  <w:style w:type="character" w:styleId="Emphasis">
    <w:name w:val="Emphasis"/>
    <w:basedOn w:val="DefaultParagraphFont"/>
    <w:uiPriority w:val="20"/>
    <w:qFormat/>
    <w:rsid w:val="00303920"/>
    <w:rPr>
      <w:i/>
      <w:iCs/>
    </w:rPr>
  </w:style>
  <w:style w:type="paragraph" w:styleId="TOC1">
    <w:name w:val="toc 1"/>
    <w:basedOn w:val="Normal"/>
    <w:next w:val="Normal"/>
    <w:autoRedefine/>
    <w:uiPriority w:val="39"/>
    <w:unhideWhenUsed/>
    <w:rsid w:val="001D3882"/>
    <w:pPr>
      <w:spacing w:before="120" w:after="0"/>
    </w:pPr>
    <w:rPr>
      <w:rFonts w:asciiTheme="minorHAnsi" w:hAnsiTheme="minorHAnsi"/>
      <w:b/>
      <w:bCs/>
      <w:i/>
      <w:iCs/>
      <w:sz w:val="24"/>
      <w:szCs w:val="24"/>
    </w:rPr>
  </w:style>
  <w:style w:type="paragraph" w:styleId="TOCHeading">
    <w:name w:val="TOC Heading"/>
    <w:basedOn w:val="Heading1"/>
    <w:next w:val="Normal"/>
    <w:uiPriority w:val="39"/>
    <w:unhideWhenUsed/>
    <w:qFormat/>
    <w:rsid w:val="00011AD0"/>
    <w:pPr>
      <w:spacing w:before="480" w:after="0" w:line="276" w:lineRule="auto"/>
      <w:outlineLvl w:val="9"/>
    </w:pPr>
    <w:rPr>
      <w:b/>
      <w:bCs/>
      <w:sz w:val="28"/>
      <w:szCs w:val="28"/>
      <w:lang w:val="en-US"/>
    </w:rPr>
  </w:style>
  <w:style w:type="paragraph" w:styleId="TOC3">
    <w:name w:val="toc 3"/>
    <w:basedOn w:val="Normal"/>
    <w:next w:val="Normal"/>
    <w:autoRedefine/>
    <w:uiPriority w:val="39"/>
    <w:unhideWhenUsed/>
    <w:rsid w:val="00011AD0"/>
    <w:pPr>
      <w:spacing w:after="0"/>
      <w:ind w:left="440"/>
    </w:pPr>
    <w:rPr>
      <w:rFonts w:asciiTheme="minorHAnsi" w:hAnsiTheme="minorHAnsi"/>
      <w:sz w:val="20"/>
      <w:szCs w:val="20"/>
    </w:rPr>
  </w:style>
  <w:style w:type="paragraph" w:styleId="TOC2">
    <w:name w:val="toc 2"/>
    <w:basedOn w:val="Normal"/>
    <w:next w:val="Normal"/>
    <w:autoRedefine/>
    <w:uiPriority w:val="39"/>
    <w:unhideWhenUsed/>
    <w:rsid w:val="00011AD0"/>
    <w:pPr>
      <w:spacing w:before="120" w:after="0"/>
      <w:ind w:left="220"/>
    </w:pPr>
    <w:rPr>
      <w:rFonts w:asciiTheme="minorHAnsi" w:hAnsiTheme="minorHAnsi"/>
      <w:b/>
      <w:bCs/>
    </w:rPr>
  </w:style>
  <w:style w:type="paragraph" w:styleId="TOC4">
    <w:name w:val="toc 4"/>
    <w:basedOn w:val="Normal"/>
    <w:next w:val="Normal"/>
    <w:autoRedefine/>
    <w:uiPriority w:val="39"/>
    <w:semiHidden/>
    <w:unhideWhenUsed/>
    <w:rsid w:val="00011AD0"/>
    <w:pPr>
      <w:spacing w:after="0"/>
      <w:ind w:left="660"/>
    </w:pPr>
    <w:rPr>
      <w:rFonts w:asciiTheme="minorHAnsi" w:hAnsiTheme="minorHAnsi"/>
      <w:sz w:val="20"/>
      <w:szCs w:val="20"/>
    </w:rPr>
  </w:style>
  <w:style w:type="paragraph" w:styleId="TOC5">
    <w:name w:val="toc 5"/>
    <w:basedOn w:val="Normal"/>
    <w:next w:val="Normal"/>
    <w:autoRedefine/>
    <w:uiPriority w:val="39"/>
    <w:semiHidden/>
    <w:unhideWhenUsed/>
    <w:rsid w:val="00011AD0"/>
    <w:pPr>
      <w:spacing w:after="0"/>
      <w:ind w:left="880"/>
    </w:pPr>
    <w:rPr>
      <w:rFonts w:asciiTheme="minorHAnsi" w:hAnsiTheme="minorHAnsi"/>
      <w:sz w:val="20"/>
      <w:szCs w:val="20"/>
    </w:rPr>
  </w:style>
  <w:style w:type="paragraph" w:styleId="TOC6">
    <w:name w:val="toc 6"/>
    <w:basedOn w:val="Normal"/>
    <w:next w:val="Normal"/>
    <w:autoRedefine/>
    <w:uiPriority w:val="39"/>
    <w:semiHidden/>
    <w:unhideWhenUsed/>
    <w:rsid w:val="00011AD0"/>
    <w:pPr>
      <w:spacing w:after="0"/>
      <w:ind w:left="1100"/>
    </w:pPr>
    <w:rPr>
      <w:rFonts w:asciiTheme="minorHAnsi" w:hAnsiTheme="minorHAnsi"/>
      <w:sz w:val="20"/>
      <w:szCs w:val="20"/>
    </w:rPr>
  </w:style>
  <w:style w:type="paragraph" w:styleId="TOC7">
    <w:name w:val="toc 7"/>
    <w:basedOn w:val="Normal"/>
    <w:next w:val="Normal"/>
    <w:autoRedefine/>
    <w:uiPriority w:val="39"/>
    <w:semiHidden/>
    <w:unhideWhenUsed/>
    <w:rsid w:val="00011AD0"/>
    <w:pPr>
      <w:spacing w:after="0"/>
      <w:ind w:left="1320"/>
    </w:pPr>
    <w:rPr>
      <w:rFonts w:asciiTheme="minorHAnsi" w:hAnsiTheme="minorHAnsi"/>
      <w:sz w:val="20"/>
      <w:szCs w:val="20"/>
    </w:rPr>
  </w:style>
  <w:style w:type="paragraph" w:styleId="TOC8">
    <w:name w:val="toc 8"/>
    <w:basedOn w:val="Normal"/>
    <w:next w:val="Normal"/>
    <w:autoRedefine/>
    <w:uiPriority w:val="39"/>
    <w:semiHidden/>
    <w:unhideWhenUsed/>
    <w:rsid w:val="00011AD0"/>
    <w:pPr>
      <w:spacing w:after="0"/>
      <w:ind w:left="1540"/>
    </w:pPr>
    <w:rPr>
      <w:rFonts w:asciiTheme="minorHAnsi" w:hAnsiTheme="minorHAnsi"/>
      <w:sz w:val="20"/>
      <w:szCs w:val="20"/>
    </w:rPr>
  </w:style>
  <w:style w:type="paragraph" w:styleId="TOC9">
    <w:name w:val="toc 9"/>
    <w:basedOn w:val="Normal"/>
    <w:next w:val="Normal"/>
    <w:autoRedefine/>
    <w:uiPriority w:val="39"/>
    <w:semiHidden/>
    <w:unhideWhenUsed/>
    <w:rsid w:val="00011AD0"/>
    <w:pPr>
      <w:spacing w:after="0"/>
      <w:ind w:left="176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704605">
      <w:bodyDiv w:val="1"/>
      <w:marLeft w:val="0"/>
      <w:marRight w:val="0"/>
      <w:marTop w:val="0"/>
      <w:marBottom w:val="0"/>
      <w:divBdr>
        <w:top w:val="none" w:sz="0" w:space="0" w:color="auto"/>
        <w:left w:val="none" w:sz="0" w:space="0" w:color="auto"/>
        <w:bottom w:val="none" w:sz="0" w:space="0" w:color="auto"/>
        <w:right w:val="none" w:sz="0" w:space="0" w:color="auto"/>
      </w:divBdr>
      <w:divsChild>
        <w:div w:id="1064763707">
          <w:marLeft w:val="0"/>
          <w:marRight w:val="0"/>
          <w:marTop w:val="0"/>
          <w:marBottom w:val="0"/>
          <w:divBdr>
            <w:top w:val="none" w:sz="0" w:space="0" w:color="auto"/>
            <w:left w:val="none" w:sz="0" w:space="0" w:color="auto"/>
            <w:bottom w:val="none" w:sz="0" w:space="0" w:color="auto"/>
            <w:right w:val="none" w:sz="0" w:space="0" w:color="auto"/>
          </w:divBdr>
        </w:div>
        <w:div w:id="831217936">
          <w:marLeft w:val="0"/>
          <w:marRight w:val="0"/>
          <w:marTop w:val="0"/>
          <w:marBottom w:val="0"/>
          <w:divBdr>
            <w:top w:val="none" w:sz="0" w:space="0" w:color="auto"/>
            <w:left w:val="none" w:sz="0" w:space="0" w:color="auto"/>
            <w:bottom w:val="none" w:sz="0" w:space="0" w:color="auto"/>
            <w:right w:val="none" w:sz="0" w:space="0" w:color="auto"/>
          </w:divBdr>
        </w:div>
        <w:div w:id="1503817145">
          <w:marLeft w:val="0"/>
          <w:marRight w:val="0"/>
          <w:marTop w:val="0"/>
          <w:marBottom w:val="0"/>
          <w:divBdr>
            <w:top w:val="none" w:sz="0" w:space="0" w:color="auto"/>
            <w:left w:val="none" w:sz="0" w:space="0" w:color="auto"/>
            <w:bottom w:val="none" w:sz="0" w:space="0" w:color="auto"/>
            <w:right w:val="none" w:sz="0" w:space="0" w:color="auto"/>
          </w:divBdr>
        </w:div>
        <w:div w:id="1902716094">
          <w:marLeft w:val="0"/>
          <w:marRight w:val="0"/>
          <w:marTop w:val="0"/>
          <w:marBottom w:val="0"/>
          <w:divBdr>
            <w:top w:val="none" w:sz="0" w:space="0" w:color="auto"/>
            <w:left w:val="none" w:sz="0" w:space="0" w:color="auto"/>
            <w:bottom w:val="none" w:sz="0" w:space="0" w:color="auto"/>
            <w:right w:val="none" w:sz="0" w:space="0" w:color="auto"/>
          </w:divBdr>
        </w:div>
        <w:div w:id="656958354">
          <w:marLeft w:val="0"/>
          <w:marRight w:val="0"/>
          <w:marTop w:val="0"/>
          <w:marBottom w:val="0"/>
          <w:divBdr>
            <w:top w:val="none" w:sz="0" w:space="0" w:color="auto"/>
            <w:left w:val="none" w:sz="0" w:space="0" w:color="auto"/>
            <w:bottom w:val="none" w:sz="0" w:space="0" w:color="auto"/>
            <w:right w:val="none" w:sz="0" w:space="0" w:color="auto"/>
          </w:divBdr>
        </w:div>
        <w:div w:id="1819879322">
          <w:marLeft w:val="0"/>
          <w:marRight w:val="0"/>
          <w:marTop w:val="0"/>
          <w:marBottom w:val="0"/>
          <w:divBdr>
            <w:top w:val="none" w:sz="0" w:space="0" w:color="auto"/>
            <w:left w:val="none" w:sz="0" w:space="0" w:color="auto"/>
            <w:bottom w:val="none" w:sz="0" w:space="0" w:color="auto"/>
            <w:right w:val="none" w:sz="0" w:space="0" w:color="auto"/>
          </w:divBdr>
        </w:div>
        <w:div w:id="1575893553">
          <w:marLeft w:val="0"/>
          <w:marRight w:val="0"/>
          <w:marTop w:val="0"/>
          <w:marBottom w:val="0"/>
          <w:divBdr>
            <w:top w:val="none" w:sz="0" w:space="0" w:color="auto"/>
            <w:left w:val="none" w:sz="0" w:space="0" w:color="auto"/>
            <w:bottom w:val="none" w:sz="0" w:space="0" w:color="auto"/>
            <w:right w:val="none" w:sz="0" w:space="0" w:color="auto"/>
          </w:divBdr>
        </w:div>
      </w:divsChild>
    </w:div>
    <w:div w:id="134179413">
      <w:bodyDiv w:val="1"/>
      <w:marLeft w:val="0"/>
      <w:marRight w:val="0"/>
      <w:marTop w:val="0"/>
      <w:marBottom w:val="0"/>
      <w:divBdr>
        <w:top w:val="none" w:sz="0" w:space="0" w:color="auto"/>
        <w:left w:val="none" w:sz="0" w:space="0" w:color="auto"/>
        <w:bottom w:val="none" w:sz="0" w:space="0" w:color="auto"/>
        <w:right w:val="none" w:sz="0" w:space="0" w:color="auto"/>
      </w:divBdr>
      <w:divsChild>
        <w:div w:id="414477099">
          <w:marLeft w:val="0"/>
          <w:marRight w:val="0"/>
          <w:marTop w:val="0"/>
          <w:marBottom w:val="0"/>
          <w:divBdr>
            <w:top w:val="none" w:sz="0" w:space="0" w:color="auto"/>
            <w:left w:val="none" w:sz="0" w:space="0" w:color="auto"/>
            <w:bottom w:val="none" w:sz="0" w:space="0" w:color="auto"/>
            <w:right w:val="none" w:sz="0" w:space="0" w:color="auto"/>
          </w:divBdr>
        </w:div>
        <w:div w:id="147287369">
          <w:marLeft w:val="0"/>
          <w:marRight w:val="0"/>
          <w:marTop w:val="0"/>
          <w:marBottom w:val="0"/>
          <w:divBdr>
            <w:top w:val="none" w:sz="0" w:space="0" w:color="auto"/>
            <w:left w:val="none" w:sz="0" w:space="0" w:color="auto"/>
            <w:bottom w:val="none" w:sz="0" w:space="0" w:color="auto"/>
            <w:right w:val="none" w:sz="0" w:space="0" w:color="auto"/>
          </w:divBdr>
        </w:div>
        <w:div w:id="1109160873">
          <w:marLeft w:val="0"/>
          <w:marRight w:val="0"/>
          <w:marTop w:val="0"/>
          <w:marBottom w:val="0"/>
          <w:divBdr>
            <w:top w:val="none" w:sz="0" w:space="0" w:color="auto"/>
            <w:left w:val="none" w:sz="0" w:space="0" w:color="auto"/>
            <w:bottom w:val="none" w:sz="0" w:space="0" w:color="auto"/>
            <w:right w:val="none" w:sz="0" w:space="0" w:color="auto"/>
          </w:divBdr>
        </w:div>
        <w:div w:id="1387339794">
          <w:marLeft w:val="0"/>
          <w:marRight w:val="0"/>
          <w:marTop w:val="0"/>
          <w:marBottom w:val="0"/>
          <w:divBdr>
            <w:top w:val="none" w:sz="0" w:space="0" w:color="auto"/>
            <w:left w:val="none" w:sz="0" w:space="0" w:color="auto"/>
            <w:bottom w:val="none" w:sz="0" w:space="0" w:color="auto"/>
            <w:right w:val="none" w:sz="0" w:space="0" w:color="auto"/>
          </w:divBdr>
        </w:div>
        <w:div w:id="1413624273">
          <w:marLeft w:val="0"/>
          <w:marRight w:val="0"/>
          <w:marTop w:val="0"/>
          <w:marBottom w:val="0"/>
          <w:divBdr>
            <w:top w:val="none" w:sz="0" w:space="0" w:color="auto"/>
            <w:left w:val="none" w:sz="0" w:space="0" w:color="auto"/>
            <w:bottom w:val="none" w:sz="0" w:space="0" w:color="auto"/>
            <w:right w:val="none" w:sz="0" w:space="0" w:color="auto"/>
          </w:divBdr>
        </w:div>
        <w:div w:id="787620818">
          <w:marLeft w:val="0"/>
          <w:marRight w:val="0"/>
          <w:marTop w:val="0"/>
          <w:marBottom w:val="0"/>
          <w:divBdr>
            <w:top w:val="none" w:sz="0" w:space="0" w:color="auto"/>
            <w:left w:val="none" w:sz="0" w:space="0" w:color="auto"/>
            <w:bottom w:val="none" w:sz="0" w:space="0" w:color="auto"/>
            <w:right w:val="none" w:sz="0" w:space="0" w:color="auto"/>
          </w:divBdr>
        </w:div>
        <w:div w:id="1266687894">
          <w:marLeft w:val="0"/>
          <w:marRight w:val="0"/>
          <w:marTop w:val="0"/>
          <w:marBottom w:val="0"/>
          <w:divBdr>
            <w:top w:val="none" w:sz="0" w:space="0" w:color="auto"/>
            <w:left w:val="none" w:sz="0" w:space="0" w:color="auto"/>
            <w:bottom w:val="none" w:sz="0" w:space="0" w:color="auto"/>
            <w:right w:val="none" w:sz="0" w:space="0" w:color="auto"/>
          </w:divBdr>
        </w:div>
        <w:div w:id="1215773310">
          <w:marLeft w:val="0"/>
          <w:marRight w:val="0"/>
          <w:marTop w:val="0"/>
          <w:marBottom w:val="0"/>
          <w:divBdr>
            <w:top w:val="none" w:sz="0" w:space="0" w:color="auto"/>
            <w:left w:val="none" w:sz="0" w:space="0" w:color="auto"/>
            <w:bottom w:val="none" w:sz="0" w:space="0" w:color="auto"/>
            <w:right w:val="none" w:sz="0" w:space="0" w:color="auto"/>
          </w:divBdr>
        </w:div>
        <w:div w:id="20517970">
          <w:marLeft w:val="0"/>
          <w:marRight w:val="0"/>
          <w:marTop w:val="0"/>
          <w:marBottom w:val="0"/>
          <w:divBdr>
            <w:top w:val="none" w:sz="0" w:space="0" w:color="auto"/>
            <w:left w:val="none" w:sz="0" w:space="0" w:color="auto"/>
            <w:bottom w:val="none" w:sz="0" w:space="0" w:color="auto"/>
            <w:right w:val="none" w:sz="0" w:space="0" w:color="auto"/>
          </w:divBdr>
        </w:div>
        <w:div w:id="597255911">
          <w:marLeft w:val="0"/>
          <w:marRight w:val="0"/>
          <w:marTop w:val="0"/>
          <w:marBottom w:val="0"/>
          <w:divBdr>
            <w:top w:val="none" w:sz="0" w:space="0" w:color="auto"/>
            <w:left w:val="none" w:sz="0" w:space="0" w:color="auto"/>
            <w:bottom w:val="none" w:sz="0" w:space="0" w:color="auto"/>
            <w:right w:val="none" w:sz="0" w:space="0" w:color="auto"/>
          </w:divBdr>
        </w:div>
        <w:div w:id="1223910204">
          <w:marLeft w:val="0"/>
          <w:marRight w:val="0"/>
          <w:marTop w:val="0"/>
          <w:marBottom w:val="0"/>
          <w:divBdr>
            <w:top w:val="none" w:sz="0" w:space="0" w:color="auto"/>
            <w:left w:val="none" w:sz="0" w:space="0" w:color="auto"/>
            <w:bottom w:val="none" w:sz="0" w:space="0" w:color="auto"/>
            <w:right w:val="none" w:sz="0" w:space="0" w:color="auto"/>
          </w:divBdr>
        </w:div>
      </w:divsChild>
    </w:div>
    <w:div w:id="135951925">
      <w:bodyDiv w:val="1"/>
      <w:marLeft w:val="0"/>
      <w:marRight w:val="0"/>
      <w:marTop w:val="0"/>
      <w:marBottom w:val="0"/>
      <w:divBdr>
        <w:top w:val="none" w:sz="0" w:space="0" w:color="auto"/>
        <w:left w:val="none" w:sz="0" w:space="0" w:color="auto"/>
        <w:bottom w:val="none" w:sz="0" w:space="0" w:color="auto"/>
        <w:right w:val="none" w:sz="0" w:space="0" w:color="auto"/>
      </w:divBdr>
      <w:divsChild>
        <w:div w:id="818040417">
          <w:marLeft w:val="0"/>
          <w:marRight w:val="0"/>
          <w:marTop w:val="0"/>
          <w:marBottom w:val="0"/>
          <w:divBdr>
            <w:top w:val="none" w:sz="0" w:space="0" w:color="auto"/>
            <w:left w:val="none" w:sz="0" w:space="0" w:color="auto"/>
            <w:bottom w:val="none" w:sz="0" w:space="0" w:color="auto"/>
            <w:right w:val="none" w:sz="0" w:space="0" w:color="auto"/>
          </w:divBdr>
        </w:div>
        <w:div w:id="2084137591">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305093613">
      <w:bodyDiv w:val="1"/>
      <w:marLeft w:val="0"/>
      <w:marRight w:val="0"/>
      <w:marTop w:val="0"/>
      <w:marBottom w:val="0"/>
      <w:divBdr>
        <w:top w:val="none" w:sz="0" w:space="0" w:color="auto"/>
        <w:left w:val="none" w:sz="0" w:space="0" w:color="auto"/>
        <w:bottom w:val="none" w:sz="0" w:space="0" w:color="auto"/>
        <w:right w:val="none" w:sz="0" w:space="0" w:color="auto"/>
      </w:divBdr>
    </w:div>
    <w:div w:id="347799906">
      <w:bodyDiv w:val="1"/>
      <w:marLeft w:val="0"/>
      <w:marRight w:val="0"/>
      <w:marTop w:val="0"/>
      <w:marBottom w:val="0"/>
      <w:divBdr>
        <w:top w:val="none" w:sz="0" w:space="0" w:color="auto"/>
        <w:left w:val="none" w:sz="0" w:space="0" w:color="auto"/>
        <w:bottom w:val="none" w:sz="0" w:space="0" w:color="auto"/>
        <w:right w:val="none" w:sz="0" w:space="0" w:color="auto"/>
      </w:divBdr>
      <w:divsChild>
        <w:div w:id="189758746">
          <w:marLeft w:val="0"/>
          <w:marRight w:val="0"/>
          <w:marTop w:val="0"/>
          <w:marBottom w:val="0"/>
          <w:divBdr>
            <w:top w:val="none" w:sz="0" w:space="0" w:color="auto"/>
            <w:left w:val="none" w:sz="0" w:space="0" w:color="auto"/>
            <w:bottom w:val="none" w:sz="0" w:space="0" w:color="auto"/>
            <w:right w:val="none" w:sz="0" w:space="0" w:color="auto"/>
          </w:divBdr>
        </w:div>
        <w:div w:id="93092410">
          <w:marLeft w:val="0"/>
          <w:marRight w:val="0"/>
          <w:marTop w:val="0"/>
          <w:marBottom w:val="0"/>
          <w:divBdr>
            <w:top w:val="none" w:sz="0" w:space="0" w:color="auto"/>
            <w:left w:val="none" w:sz="0" w:space="0" w:color="auto"/>
            <w:bottom w:val="none" w:sz="0" w:space="0" w:color="auto"/>
            <w:right w:val="none" w:sz="0" w:space="0" w:color="auto"/>
          </w:divBdr>
        </w:div>
        <w:div w:id="985665701">
          <w:marLeft w:val="0"/>
          <w:marRight w:val="0"/>
          <w:marTop w:val="0"/>
          <w:marBottom w:val="0"/>
          <w:divBdr>
            <w:top w:val="none" w:sz="0" w:space="0" w:color="auto"/>
            <w:left w:val="none" w:sz="0" w:space="0" w:color="auto"/>
            <w:bottom w:val="none" w:sz="0" w:space="0" w:color="auto"/>
            <w:right w:val="none" w:sz="0" w:space="0" w:color="auto"/>
          </w:divBdr>
        </w:div>
      </w:divsChild>
    </w:div>
    <w:div w:id="462962428">
      <w:bodyDiv w:val="1"/>
      <w:marLeft w:val="0"/>
      <w:marRight w:val="0"/>
      <w:marTop w:val="0"/>
      <w:marBottom w:val="0"/>
      <w:divBdr>
        <w:top w:val="none" w:sz="0" w:space="0" w:color="auto"/>
        <w:left w:val="none" w:sz="0" w:space="0" w:color="auto"/>
        <w:bottom w:val="none" w:sz="0" w:space="0" w:color="auto"/>
        <w:right w:val="none" w:sz="0" w:space="0" w:color="auto"/>
      </w:divBdr>
    </w:div>
    <w:div w:id="631791489">
      <w:bodyDiv w:val="1"/>
      <w:marLeft w:val="0"/>
      <w:marRight w:val="0"/>
      <w:marTop w:val="0"/>
      <w:marBottom w:val="0"/>
      <w:divBdr>
        <w:top w:val="none" w:sz="0" w:space="0" w:color="auto"/>
        <w:left w:val="none" w:sz="0" w:space="0" w:color="auto"/>
        <w:bottom w:val="none" w:sz="0" w:space="0" w:color="auto"/>
        <w:right w:val="none" w:sz="0" w:space="0" w:color="auto"/>
      </w:divBdr>
      <w:divsChild>
        <w:div w:id="1344211277">
          <w:marLeft w:val="0"/>
          <w:marRight w:val="0"/>
          <w:marTop w:val="0"/>
          <w:marBottom w:val="0"/>
          <w:divBdr>
            <w:top w:val="none" w:sz="0" w:space="0" w:color="auto"/>
            <w:left w:val="none" w:sz="0" w:space="0" w:color="auto"/>
            <w:bottom w:val="none" w:sz="0" w:space="0" w:color="auto"/>
            <w:right w:val="none" w:sz="0" w:space="0" w:color="auto"/>
          </w:divBdr>
        </w:div>
        <w:div w:id="1687559133">
          <w:marLeft w:val="0"/>
          <w:marRight w:val="0"/>
          <w:marTop w:val="0"/>
          <w:marBottom w:val="0"/>
          <w:divBdr>
            <w:top w:val="none" w:sz="0" w:space="0" w:color="auto"/>
            <w:left w:val="none" w:sz="0" w:space="0" w:color="auto"/>
            <w:bottom w:val="none" w:sz="0" w:space="0" w:color="auto"/>
            <w:right w:val="none" w:sz="0" w:space="0" w:color="auto"/>
          </w:divBdr>
        </w:div>
        <w:div w:id="2003704075">
          <w:marLeft w:val="0"/>
          <w:marRight w:val="0"/>
          <w:marTop w:val="0"/>
          <w:marBottom w:val="0"/>
          <w:divBdr>
            <w:top w:val="none" w:sz="0" w:space="0" w:color="auto"/>
            <w:left w:val="none" w:sz="0" w:space="0" w:color="auto"/>
            <w:bottom w:val="none" w:sz="0" w:space="0" w:color="auto"/>
            <w:right w:val="none" w:sz="0" w:space="0" w:color="auto"/>
          </w:divBdr>
        </w:div>
        <w:div w:id="1379159588">
          <w:marLeft w:val="0"/>
          <w:marRight w:val="0"/>
          <w:marTop w:val="0"/>
          <w:marBottom w:val="0"/>
          <w:divBdr>
            <w:top w:val="none" w:sz="0" w:space="0" w:color="auto"/>
            <w:left w:val="none" w:sz="0" w:space="0" w:color="auto"/>
            <w:bottom w:val="none" w:sz="0" w:space="0" w:color="auto"/>
            <w:right w:val="none" w:sz="0" w:space="0" w:color="auto"/>
          </w:divBdr>
        </w:div>
        <w:div w:id="1209148324">
          <w:marLeft w:val="0"/>
          <w:marRight w:val="0"/>
          <w:marTop w:val="0"/>
          <w:marBottom w:val="0"/>
          <w:divBdr>
            <w:top w:val="none" w:sz="0" w:space="0" w:color="auto"/>
            <w:left w:val="none" w:sz="0" w:space="0" w:color="auto"/>
            <w:bottom w:val="none" w:sz="0" w:space="0" w:color="auto"/>
            <w:right w:val="none" w:sz="0" w:space="0" w:color="auto"/>
          </w:divBdr>
        </w:div>
        <w:div w:id="1800369687">
          <w:marLeft w:val="0"/>
          <w:marRight w:val="0"/>
          <w:marTop w:val="0"/>
          <w:marBottom w:val="0"/>
          <w:divBdr>
            <w:top w:val="none" w:sz="0" w:space="0" w:color="auto"/>
            <w:left w:val="none" w:sz="0" w:space="0" w:color="auto"/>
            <w:bottom w:val="none" w:sz="0" w:space="0" w:color="auto"/>
            <w:right w:val="none" w:sz="0" w:space="0" w:color="auto"/>
          </w:divBdr>
        </w:div>
        <w:div w:id="192306270">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779956690">
      <w:bodyDiv w:val="1"/>
      <w:marLeft w:val="0"/>
      <w:marRight w:val="0"/>
      <w:marTop w:val="0"/>
      <w:marBottom w:val="0"/>
      <w:divBdr>
        <w:top w:val="none" w:sz="0" w:space="0" w:color="auto"/>
        <w:left w:val="none" w:sz="0" w:space="0" w:color="auto"/>
        <w:bottom w:val="none" w:sz="0" w:space="0" w:color="auto"/>
        <w:right w:val="none" w:sz="0" w:space="0" w:color="auto"/>
      </w:divBdr>
      <w:divsChild>
        <w:div w:id="1565526396">
          <w:marLeft w:val="0"/>
          <w:marRight w:val="0"/>
          <w:marTop w:val="0"/>
          <w:marBottom w:val="0"/>
          <w:divBdr>
            <w:top w:val="none" w:sz="0" w:space="0" w:color="auto"/>
            <w:left w:val="none" w:sz="0" w:space="0" w:color="auto"/>
            <w:bottom w:val="none" w:sz="0" w:space="0" w:color="auto"/>
            <w:right w:val="none" w:sz="0" w:space="0" w:color="auto"/>
          </w:divBdr>
        </w:div>
        <w:div w:id="1661932831">
          <w:marLeft w:val="0"/>
          <w:marRight w:val="0"/>
          <w:marTop w:val="0"/>
          <w:marBottom w:val="0"/>
          <w:divBdr>
            <w:top w:val="none" w:sz="0" w:space="0" w:color="auto"/>
            <w:left w:val="none" w:sz="0" w:space="0" w:color="auto"/>
            <w:bottom w:val="none" w:sz="0" w:space="0" w:color="auto"/>
            <w:right w:val="none" w:sz="0" w:space="0" w:color="auto"/>
          </w:divBdr>
        </w:div>
        <w:div w:id="1209073883">
          <w:marLeft w:val="0"/>
          <w:marRight w:val="0"/>
          <w:marTop w:val="0"/>
          <w:marBottom w:val="0"/>
          <w:divBdr>
            <w:top w:val="none" w:sz="0" w:space="0" w:color="auto"/>
            <w:left w:val="none" w:sz="0" w:space="0" w:color="auto"/>
            <w:bottom w:val="none" w:sz="0" w:space="0" w:color="auto"/>
            <w:right w:val="none" w:sz="0" w:space="0" w:color="auto"/>
          </w:divBdr>
        </w:div>
        <w:div w:id="1412042355">
          <w:marLeft w:val="0"/>
          <w:marRight w:val="0"/>
          <w:marTop w:val="0"/>
          <w:marBottom w:val="0"/>
          <w:divBdr>
            <w:top w:val="none" w:sz="0" w:space="0" w:color="auto"/>
            <w:left w:val="none" w:sz="0" w:space="0" w:color="auto"/>
            <w:bottom w:val="none" w:sz="0" w:space="0" w:color="auto"/>
            <w:right w:val="none" w:sz="0" w:space="0" w:color="auto"/>
          </w:divBdr>
        </w:div>
        <w:div w:id="1755323885">
          <w:marLeft w:val="0"/>
          <w:marRight w:val="0"/>
          <w:marTop w:val="0"/>
          <w:marBottom w:val="0"/>
          <w:divBdr>
            <w:top w:val="none" w:sz="0" w:space="0" w:color="auto"/>
            <w:left w:val="none" w:sz="0" w:space="0" w:color="auto"/>
            <w:bottom w:val="none" w:sz="0" w:space="0" w:color="auto"/>
            <w:right w:val="none" w:sz="0" w:space="0" w:color="auto"/>
          </w:divBdr>
        </w:div>
        <w:div w:id="751202380">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896086226">
      <w:bodyDiv w:val="1"/>
      <w:marLeft w:val="0"/>
      <w:marRight w:val="0"/>
      <w:marTop w:val="0"/>
      <w:marBottom w:val="0"/>
      <w:divBdr>
        <w:top w:val="none" w:sz="0" w:space="0" w:color="auto"/>
        <w:left w:val="none" w:sz="0" w:space="0" w:color="auto"/>
        <w:bottom w:val="none" w:sz="0" w:space="0" w:color="auto"/>
        <w:right w:val="none" w:sz="0" w:space="0" w:color="auto"/>
      </w:divBdr>
      <w:divsChild>
        <w:div w:id="1253783680">
          <w:marLeft w:val="0"/>
          <w:marRight w:val="0"/>
          <w:marTop w:val="0"/>
          <w:marBottom w:val="0"/>
          <w:divBdr>
            <w:top w:val="none" w:sz="0" w:space="0" w:color="auto"/>
            <w:left w:val="none" w:sz="0" w:space="0" w:color="auto"/>
            <w:bottom w:val="none" w:sz="0" w:space="0" w:color="auto"/>
            <w:right w:val="none" w:sz="0" w:space="0" w:color="auto"/>
          </w:divBdr>
        </w:div>
        <w:div w:id="453596998">
          <w:marLeft w:val="0"/>
          <w:marRight w:val="0"/>
          <w:marTop w:val="0"/>
          <w:marBottom w:val="0"/>
          <w:divBdr>
            <w:top w:val="none" w:sz="0" w:space="0" w:color="auto"/>
            <w:left w:val="none" w:sz="0" w:space="0" w:color="auto"/>
            <w:bottom w:val="none" w:sz="0" w:space="0" w:color="auto"/>
            <w:right w:val="none" w:sz="0" w:space="0" w:color="auto"/>
          </w:divBdr>
        </w:div>
      </w:divsChild>
    </w:div>
    <w:div w:id="1077509941">
      <w:bodyDiv w:val="1"/>
      <w:marLeft w:val="0"/>
      <w:marRight w:val="0"/>
      <w:marTop w:val="0"/>
      <w:marBottom w:val="0"/>
      <w:divBdr>
        <w:top w:val="none" w:sz="0" w:space="0" w:color="auto"/>
        <w:left w:val="none" w:sz="0" w:space="0" w:color="auto"/>
        <w:bottom w:val="none" w:sz="0" w:space="0" w:color="auto"/>
        <w:right w:val="none" w:sz="0" w:space="0" w:color="auto"/>
      </w:divBdr>
    </w:div>
    <w:div w:id="1086924234">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371880106">
      <w:bodyDiv w:val="1"/>
      <w:marLeft w:val="0"/>
      <w:marRight w:val="0"/>
      <w:marTop w:val="0"/>
      <w:marBottom w:val="0"/>
      <w:divBdr>
        <w:top w:val="none" w:sz="0" w:space="0" w:color="auto"/>
        <w:left w:val="none" w:sz="0" w:space="0" w:color="auto"/>
        <w:bottom w:val="none" w:sz="0" w:space="0" w:color="auto"/>
        <w:right w:val="none" w:sz="0" w:space="0" w:color="auto"/>
      </w:divBdr>
    </w:div>
    <w:div w:id="1376541980">
      <w:bodyDiv w:val="1"/>
      <w:marLeft w:val="0"/>
      <w:marRight w:val="0"/>
      <w:marTop w:val="0"/>
      <w:marBottom w:val="0"/>
      <w:divBdr>
        <w:top w:val="none" w:sz="0" w:space="0" w:color="auto"/>
        <w:left w:val="none" w:sz="0" w:space="0" w:color="auto"/>
        <w:bottom w:val="none" w:sz="0" w:space="0" w:color="auto"/>
        <w:right w:val="none" w:sz="0" w:space="0" w:color="auto"/>
      </w:divBdr>
      <w:divsChild>
        <w:div w:id="800000571">
          <w:marLeft w:val="0"/>
          <w:marRight w:val="0"/>
          <w:marTop w:val="0"/>
          <w:marBottom w:val="0"/>
          <w:divBdr>
            <w:top w:val="none" w:sz="0" w:space="0" w:color="auto"/>
            <w:left w:val="none" w:sz="0" w:space="0" w:color="auto"/>
            <w:bottom w:val="none" w:sz="0" w:space="0" w:color="auto"/>
            <w:right w:val="none" w:sz="0" w:space="0" w:color="auto"/>
          </w:divBdr>
        </w:div>
        <w:div w:id="1390152494">
          <w:marLeft w:val="0"/>
          <w:marRight w:val="0"/>
          <w:marTop w:val="0"/>
          <w:marBottom w:val="0"/>
          <w:divBdr>
            <w:top w:val="none" w:sz="0" w:space="0" w:color="auto"/>
            <w:left w:val="none" w:sz="0" w:space="0" w:color="auto"/>
            <w:bottom w:val="none" w:sz="0" w:space="0" w:color="auto"/>
            <w:right w:val="none" w:sz="0" w:space="0" w:color="auto"/>
          </w:divBdr>
        </w:div>
        <w:div w:id="1593932003">
          <w:marLeft w:val="0"/>
          <w:marRight w:val="0"/>
          <w:marTop w:val="0"/>
          <w:marBottom w:val="0"/>
          <w:divBdr>
            <w:top w:val="none" w:sz="0" w:space="0" w:color="auto"/>
            <w:left w:val="none" w:sz="0" w:space="0" w:color="auto"/>
            <w:bottom w:val="none" w:sz="0" w:space="0" w:color="auto"/>
            <w:right w:val="none" w:sz="0" w:space="0" w:color="auto"/>
          </w:divBdr>
        </w:div>
        <w:div w:id="1474516675">
          <w:marLeft w:val="0"/>
          <w:marRight w:val="0"/>
          <w:marTop w:val="0"/>
          <w:marBottom w:val="0"/>
          <w:divBdr>
            <w:top w:val="none" w:sz="0" w:space="0" w:color="auto"/>
            <w:left w:val="none" w:sz="0" w:space="0" w:color="auto"/>
            <w:bottom w:val="none" w:sz="0" w:space="0" w:color="auto"/>
            <w:right w:val="none" w:sz="0" w:space="0" w:color="auto"/>
          </w:divBdr>
        </w:div>
        <w:div w:id="1154833588">
          <w:marLeft w:val="0"/>
          <w:marRight w:val="0"/>
          <w:marTop w:val="0"/>
          <w:marBottom w:val="0"/>
          <w:divBdr>
            <w:top w:val="none" w:sz="0" w:space="0" w:color="auto"/>
            <w:left w:val="none" w:sz="0" w:space="0" w:color="auto"/>
            <w:bottom w:val="none" w:sz="0" w:space="0" w:color="auto"/>
            <w:right w:val="none" w:sz="0" w:space="0" w:color="auto"/>
          </w:divBdr>
        </w:div>
        <w:div w:id="211428657">
          <w:marLeft w:val="0"/>
          <w:marRight w:val="0"/>
          <w:marTop w:val="0"/>
          <w:marBottom w:val="0"/>
          <w:divBdr>
            <w:top w:val="none" w:sz="0" w:space="0" w:color="auto"/>
            <w:left w:val="none" w:sz="0" w:space="0" w:color="auto"/>
            <w:bottom w:val="none" w:sz="0" w:space="0" w:color="auto"/>
            <w:right w:val="none" w:sz="0" w:space="0" w:color="auto"/>
          </w:divBdr>
        </w:div>
      </w:divsChild>
    </w:div>
    <w:div w:id="1582444387">
      <w:bodyDiv w:val="1"/>
      <w:marLeft w:val="0"/>
      <w:marRight w:val="0"/>
      <w:marTop w:val="0"/>
      <w:marBottom w:val="0"/>
      <w:divBdr>
        <w:top w:val="none" w:sz="0" w:space="0" w:color="auto"/>
        <w:left w:val="none" w:sz="0" w:space="0" w:color="auto"/>
        <w:bottom w:val="none" w:sz="0" w:space="0" w:color="auto"/>
        <w:right w:val="none" w:sz="0" w:space="0" w:color="auto"/>
      </w:divBdr>
      <w:divsChild>
        <w:div w:id="637419487">
          <w:marLeft w:val="0"/>
          <w:marRight w:val="0"/>
          <w:marTop w:val="0"/>
          <w:marBottom w:val="0"/>
          <w:divBdr>
            <w:top w:val="none" w:sz="0" w:space="0" w:color="auto"/>
            <w:left w:val="none" w:sz="0" w:space="0" w:color="auto"/>
            <w:bottom w:val="none" w:sz="0" w:space="0" w:color="auto"/>
            <w:right w:val="none" w:sz="0" w:space="0" w:color="auto"/>
          </w:divBdr>
        </w:div>
        <w:div w:id="1502701865">
          <w:marLeft w:val="0"/>
          <w:marRight w:val="0"/>
          <w:marTop w:val="0"/>
          <w:marBottom w:val="0"/>
          <w:divBdr>
            <w:top w:val="none" w:sz="0" w:space="0" w:color="auto"/>
            <w:left w:val="none" w:sz="0" w:space="0" w:color="auto"/>
            <w:bottom w:val="none" w:sz="0" w:space="0" w:color="auto"/>
            <w:right w:val="none" w:sz="0" w:space="0" w:color="auto"/>
          </w:divBdr>
        </w:div>
      </w:divsChild>
    </w:div>
    <w:div w:id="1750808527">
      <w:bodyDiv w:val="1"/>
      <w:marLeft w:val="0"/>
      <w:marRight w:val="0"/>
      <w:marTop w:val="0"/>
      <w:marBottom w:val="0"/>
      <w:divBdr>
        <w:top w:val="none" w:sz="0" w:space="0" w:color="auto"/>
        <w:left w:val="none" w:sz="0" w:space="0" w:color="auto"/>
        <w:bottom w:val="none" w:sz="0" w:space="0" w:color="auto"/>
        <w:right w:val="none" w:sz="0" w:space="0" w:color="auto"/>
      </w:divBdr>
      <w:divsChild>
        <w:div w:id="1836872917">
          <w:marLeft w:val="0"/>
          <w:marRight w:val="0"/>
          <w:marTop w:val="0"/>
          <w:marBottom w:val="0"/>
          <w:divBdr>
            <w:top w:val="none" w:sz="0" w:space="0" w:color="auto"/>
            <w:left w:val="none" w:sz="0" w:space="0" w:color="auto"/>
            <w:bottom w:val="none" w:sz="0" w:space="0" w:color="auto"/>
            <w:right w:val="none" w:sz="0" w:space="0" w:color="auto"/>
          </w:divBdr>
        </w:div>
        <w:div w:id="903639034">
          <w:marLeft w:val="0"/>
          <w:marRight w:val="0"/>
          <w:marTop w:val="0"/>
          <w:marBottom w:val="0"/>
          <w:divBdr>
            <w:top w:val="none" w:sz="0" w:space="0" w:color="auto"/>
            <w:left w:val="none" w:sz="0" w:space="0" w:color="auto"/>
            <w:bottom w:val="none" w:sz="0" w:space="0" w:color="auto"/>
            <w:right w:val="none" w:sz="0" w:space="0" w:color="auto"/>
          </w:divBdr>
        </w:div>
      </w:divsChild>
    </w:div>
    <w:div w:id="1755082664">
      <w:bodyDiv w:val="1"/>
      <w:marLeft w:val="0"/>
      <w:marRight w:val="0"/>
      <w:marTop w:val="0"/>
      <w:marBottom w:val="0"/>
      <w:divBdr>
        <w:top w:val="none" w:sz="0" w:space="0" w:color="auto"/>
        <w:left w:val="none" w:sz="0" w:space="0" w:color="auto"/>
        <w:bottom w:val="none" w:sz="0" w:space="0" w:color="auto"/>
        <w:right w:val="none" w:sz="0" w:space="0" w:color="auto"/>
      </w:divBdr>
      <w:divsChild>
        <w:div w:id="1294481464">
          <w:marLeft w:val="0"/>
          <w:marRight w:val="0"/>
          <w:marTop w:val="0"/>
          <w:marBottom w:val="0"/>
          <w:divBdr>
            <w:top w:val="none" w:sz="0" w:space="0" w:color="auto"/>
            <w:left w:val="none" w:sz="0" w:space="0" w:color="auto"/>
            <w:bottom w:val="none" w:sz="0" w:space="0" w:color="auto"/>
            <w:right w:val="none" w:sz="0" w:space="0" w:color="auto"/>
          </w:divBdr>
        </w:div>
        <w:div w:id="1345285786">
          <w:marLeft w:val="0"/>
          <w:marRight w:val="0"/>
          <w:marTop w:val="0"/>
          <w:marBottom w:val="0"/>
          <w:divBdr>
            <w:top w:val="none" w:sz="0" w:space="0" w:color="auto"/>
            <w:left w:val="none" w:sz="0" w:space="0" w:color="auto"/>
            <w:bottom w:val="none" w:sz="0" w:space="0" w:color="auto"/>
            <w:right w:val="none" w:sz="0" w:space="0" w:color="auto"/>
          </w:divBdr>
        </w:div>
        <w:div w:id="867986299">
          <w:marLeft w:val="0"/>
          <w:marRight w:val="0"/>
          <w:marTop w:val="0"/>
          <w:marBottom w:val="0"/>
          <w:divBdr>
            <w:top w:val="none" w:sz="0" w:space="0" w:color="auto"/>
            <w:left w:val="none" w:sz="0" w:space="0" w:color="auto"/>
            <w:bottom w:val="none" w:sz="0" w:space="0" w:color="auto"/>
            <w:right w:val="none" w:sz="0" w:space="0" w:color="auto"/>
          </w:divBdr>
        </w:div>
      </w:divsChild>
    </w:div>
    <w:div w:id="1897276744">
      <w:bodyDiv w:val="1"/>
      <w:marLeft w:val="0"/>
      <w:marRight w:val="0"/>
      <w:marTop w:val="0"/>
      <w:marBottom w:val="0"/>
      <w:divBdr>
        <w:top w:val="none" w:sz="0" w:space="0" w:color="auto"/>
        <w:left w:val="none" w:sz="0" w:space="0" w:color="auto"/>
        <w:bottom w:val="none" w:sz="0" w:space="0" w:color="auto"/>
        <w:right w:val="none" w:sz="0" w:space="0" w:color="auto"/>
      </w:divBdr>
    </w:div>
    <w:div w:id="1964916971">
      <w:bodyDiv w:val="1"/>
      <w:marLeft w:val="0"/>
      <w:marRight w:val="0"/>
      <w:marTop w:val="0"/>
      <w:marBottom w:val="0"/>
      <w:divBdr>
        <w:top w:val="none" w:sz="0" w:space="0" w:color="auto"/>
        <w:left w:val="none" w:sz="0" w:space="0" w:color="auto"/>
        <w:bottom w:val="none" w:sz="0" w:space="0" w:color="auto"/>
        <w:right w:val="none" w:sz="0" w:space="0" w:color="auto"/>
      </w:divBdr>
      <w:divsChild>
        <w:div w:id="1190100113">
          <w:marLeft w:val="0"/>
          <w:marRight w:val="0"/>
          <w:marTop w:val="0"/>
          <w:marBottom w:val="0"/>
          <w:divBdr>
            <w:top w:val="none" w:sz="0" w:space="0" w:color="auto"/>
            <w:left w:val="none" w:sz="0" w:space="0" w:color="auto"/>
            <w:bottom w:val="none" w:sz="0" w:space="0" w:color="auto"/>
            <w:right w:val="none" w:sz="0" w:space="0" w:color="auto"/>
          </w:divBdr>
        </w:div>
        <w:div w:id="1901358230">
          <w:marLeft w:val="0"/>
          <w:marRight w:val="0"/>
          <w:marTop w:val="0"/>
          <w:marBottom w:val="0"/>
          <w:divBdr>
            <w:top w:val="none" w:sz="0" w:space="0" w:color="auto"/>
            <w:left w:val="none" w:sz="0" w:space="0" w:color="auto"/>
            <w:bottom w:val="none" w:sz="0" w:space="0" w:color="auto"/>
            <w:right w:val="none" w:sz="0" w:space="0" w:color="auto"/>
          </w:divBdr>
        </w:div>
        <w:div w:id="1797871835">
          <w:marLeft w:val="0"/>
          <w:marRight w:val="0"/>
          <w:marTop w:val="0"/>
          <w:marBottom w:val="0"/>
          <w:divBdr>
            <w:top w:val="none" w:sz="0" w:space="0" w:color="auto"/>
            <w:left w:val="none" w:sz="0" w:space="0" w:color="auto"/>
            <w:bottom w:val="none" w:sz="0" w:space="0" w:color="auto"/>
            <w:right w:val="none" w:sz="0" w:space="0" w:color="auto"/>
          </w:divBdr>
        </w:div>
      </w:divsChild>
    </w:div>
    <w:div w:id="2089955465">
      <w:bodyDiv w:val="1"/>
      <w:marLeft w:val="0"/>
      <w:marRight w:val="0"/>
      <w:marTop w:val="0"/>
      <w:marBottom w:val="0"/>
      <w:divBdr>
        <w:top w:val="none" w:sz="0" w:space="0" w:color="auto"/>
        <w:left w:val="none" w:sz="0" w:space="0" w:color="auto"/>
        <w:bottom w:val="none" w:sz="0" w:space="0" w:color="auto"/>
        <w:right w:val="none" w:sz="0" w:space="0" w:color="auto"/>
      </w:divBdr>
      <w:divsChild>
        <w:div w:id="1894854199">
          <w:marLeft w:val="0"/>
          <w:marRight w:val="0"/>
          <w:marTop w:val="0"/>
          <w:marBottom w:val="0"/>
          <w:divBdr>
            <w:top w:val="none" w:sz="0" w:space="0" w:color="auto"/>
            <w:left w:val="none" w:sz="0" w:space="0" w:color="auto"/>
            <w:bottom w:val="none" w:sz="0" w:space="0" w:color="auto"/>
            <w:right w:val="none" w:sz="0" w:space="0" w:color="auto"/>
          </w:divBdr>
        </w:div>
        <w:div w:id="2123379796">
          <w:marLeft w:val="0"/>
          <w:marRight w:val="0"/>
          <w:marTop w:val="0"/>
          <w:marBottom w:val="0"/>
          <w:divBdr>
            <w:top w:val="none" w:sz="0" w:space="0" w:color="auto"/>
            <w:left w:val="none" w:sz="0" w:space="0" w:color="auto"/>
            <w:bottom w:val="none" w:sz="0" w:space="0" w:color="auto"/>
            <w:right w:val="none" w:sz="0" w:space="0" w:color="auto"/>
          </w:divBdr>
        </w:div>
        <w:div w:id="571743938">
          <w:marLeft w:val="0"/>
          <w:marRight w:val="0"/>
          <w:marTop w:val="0"/>
          <w:marBottom w:val="0"/>
          <w:divBdr>
            <w:top w:val="none" w:sz="0" w:space="0" w:color="auto"/>
            <w:left w:val="none" w:sz="0" w:space="0" w:color="auto"/>
            <w:bottom w:val="none" w:sz="0" w:space="0" w:color="auto"/>
            <w:right w:val="none" w:sz="0" w:space="0" w:color="auto"/>
          </w:divBdr>
        </w:div>
        <w:div w:id="1436708284">
          <w:marLeft w:val="0"/>
          <w:marRight w:val="0"/>
          <w:marTop w:val="0"/>
          <w:marBottom w:val="0"/>
          <w:divBdr>
            <w:top w:val="none" w:sz="0" w:space="0" w:color="auto"/>
            <w:left w:val="none" w:sz="0" w:space="0" w:color="auto"/>
            <w:bottom w:val="none" w:sz="0" w:space="0" w:color="auto"/>
            <w:right w:val="none" w:sz="0" w:space="0" w:color="auto"/>
          </w:divBdr>
        </w:div>
      </w:divsChild>
    </w:div>
    <w:div w:id="2106220225">
      <w:bodyDiv w:val="1"/>
      <w:marLeft w:val="0"/>
      <w:marRight w:val="0"/>
      <w:marTop w:val="0"/>
      <w:marBottom w:val="0"/>
      <w:divBdr>
        <w:top w:val="none" w:sz="0" w:space="0" w:color="auto"/>
        <w:left w:val="none" w:sz="0" w:space="0" w:color="auto"/>
        <w:bottom w:val="none" w:sz="0" w:space="0" w:color="auto"/>
        <w:right w:val="none" w:sz="0" w:space="0" w:color="auto"/>
      </w:divBdr>
      <w:divsChild>
        <w:div w:id="389578006">
          <w:marLeft w:val="0"/>
          <w:marRight w:val="0"/>
          <w:marTop w:val="0"/>
          <w:marBottom w:val="0"/>
          <w:divBdr>
            <w:top w:val="none" w:sz="0" w:space="0" w:color="auto"/>
            <w:left w:val="none" w:sz="0" w:space="0" w:color="auto"/>
            <w:bottom w:val="none" w:sz="0" w:space="0" w:color="auto"/>
            <w:right w:val="none" w:sz="0" w:space="0" w:color="auto"/>
          </w:divBdr>
        </w:div>
        <w:div w:id="18362184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r-lex.europa.eu/legal-content/EN/TXT/?uri=celex%3A32005L0029" TargetMode="External"/><Relationship Id="rId21" Type="http://schemas.openxmlformats.org/officeDocument/2006/relationships/hyperlink" Target="https://www.cia.gov/the-world-factbook/countries/latvia/" TargetMode="External"/><Relationship Id="rId42" Type="http://schemas.openxmlformats.org/officeDocument/2006/relationships/hyperlink" Target="https://likumi.lv/ta/en/en/id/54890-competition-law" TargetMode="External"/><Relationship Id="rId63" Type="http://schemas.openxmlformats.org/officeDocument/2006/relationships/hyperlink" Target="https://likumi.lv/ta/en/en/id/163-advertising-law" TargetMode="External"/><Relationship Id="rId84" Type="http://schemas.openxmlformats.org/officeDocument/2006/relationships/hyperlink" Target="https://lra.lv/lv" TargetMode="External"/><Relationship Id="rId138" Type="http://schemas.openxmlformats.org/officeDocument/2006/relationships/hyperlink" Target="https://eur-lex.europa.eu/legal-content/EN/TXT/?uri=celex%3A32005L0029" TargetMode="External"/><Relationship Id="rId159" Type="http://schemas.openxmlformats.org/officeDocument/2006/relationships/hyperlink" Target="https://likumi.lv/ta/en/en/id/167759-unfair-commercial-practices-prohibition-law" TargetMode="External"/><Relationship Id="rId170" Type="http://schemas.openxmlformats.org/officeDocument/2006/relationships/hyperlink" Target="https://eur-lex.europa.eu/legal-content/EN/TXT/?uri=celex%3A32005L0029" TargetMode="External"/><Relationship Id="rId107" Type="http://schemas.openxmlformats.org/officeDocument/2006/relationships/hyperlink" Target="https://eur-lex.europa.eu/legal-content/EN/TXT/?uri=celex%3A32005L0029" TargetMode="External"/><Relationship Id="rId11" Type="http://schemas.openxmlformats.org/officeDocument/2006/relationships/image" Target="media/image1.png"/><Relationship Id="rId32" Type="http://schemas.openxmlformats.org/officeDocument/2006/relationships/hyperlink" Target="https://eur-lex.europa.eu/EN/legal-content/summary/european-electronic-communications-code.html" TargetMode="External"/><Relationship Id="rId53" Type="http://schemas.openxmlformats.org/officeDocument/2006/relationships/hyperlink" Target="https://eur-lex.europa.eu/legal-content/EN/TXT/?uri=celex%3A32006L0114" TargetMode="External"/><Relationship Id="rId74" Type="http://schemas.openxmlformats.org/officeDocument/2006/relationships/hyperlink" Target="https://jauns.lv/raksts/bizness/606496-foto-latvijas-reklamas-asociacija-svin-30-gadu-jubileju" TargetMode="External"/><Relationship Id="rId128" Type="http://schemas.openxmlformats.org/officeDocument/2006/relationships/hyperlink" Target="https://likumi.lv/ta/en/en/id/214039-electronic-mass-media-law" TargetMode="External"/><Relationship Id="rId149" Type="http://schemas.openxmlformats.org/officeDocument/2006/relationships/hyperlink" Target="https://eur-lex.europa.eu/legal-content/EN/TXT/?uri=celex%3A32009L0136" TargetMode="External"/><Relationship Id="rId5" Type="http://schemas.openxmlformats.org/officeDocument/2006/relationships/numbering" Target="numbering.xml"/><Relationship Id="rId95" Type="http://schemas.openxmlformats.org/officeDocument/2006/relationships/hyperlink" Target="https://www.lra.lv/webroot/file/uploads/files/Etikas_kodekss_10122014.pdf" TargetMode="External"/><Relationship Id="rId160" Type="http://schemas.openxmlformats.org/officeDocument/2006/relationships/hyperlink" Target="https://likumi.lv/ta/id/339525" TargetMode="External"/><Relationship Id="rId181" Type="http://schemas.openxmlformats.org/officeDocument/2006/relationships/hyperlink" Target="https://www.em.gov.lv/en/article/almost-3-million-euros-additional-funding-foreign-film-production-latvia" TargetMode="External"/><Relationship Id="rId22" Type="http://schemas.openxmlformats.org/officeDocument/2006/relationships/hyperlink" Target="https://www.statista.com/outlook/amo/media/latvia" TargetMode="External"/><Relationship Id="rId43" Type="http://schemas.openxmlformats.org/officeDocument/2006/relationships/hyperlink" Target="https://likumi.lv/ta/en/en/id/5490-commercial-law" TargetMode="External"/><Relationship Id="rId64" Type="http://schemas.openxmlformats.org/officeDocument/2006/relationships/hyperlink" Target="https://likumi.lv/ta/en/en/id/23309-consumer-rights-protection-law" TargetMode="External"/><Relationship Id="rId118" Type="http://schemas.openxmlformats.org/officeDocument/2006/relationships/hyperlink" Target="https://eur-lex.europa.eu/eli/dir/2019/2161/oj" TargetMode="External"/><Relationship Id="rId139" Type="http://schemas.openxmlformats.org/officeDocument/2006/relationships/hyperlink" Target="https://eur-lex.europa.eu/legal-content/EN/TXT/?uri=celex%3A32005L0029" TargetMode="External"/><Relationship Id="rId85" Type="http://schemas.openxmlformats.org/officeDocument/2006/relationships/hyperlink" Target="https://www.lra.lv/lv/LRA/" TargetMode="External"/><Relationship Id="rId150" Type="http://schemas.openxmlformats.org/officeDocument/2006/relationships/hyperlink" Target="https://eur-lex.europa.eu/legal-content/EN/ALL/?uri=celex%3A32000L0031" TargetMode="External"/><Relationship Id="rId171" Type="http://schemas.openxmlformats.org/officeDocument/2006/relationships/hyperlink" Target="https://www.cia.gov/the-world-factbook/" TargetMode="External"/><Relationship Id="rId12" Type="http://schemas.openxmlformats.org/officeDocument/2006/relationships/hyperlink" Target="mailto:BCGproject@arts.ac.uk" TargetMode="External"/><Relationship Id="rId33" Type="http://schemas.openxmlformats.org/officeDocument/2006/relationships/hyperlink" Target="https://likumi.lv/ta/id/334345-elektronisko-sakaru-likums" TargetMode="External"/><Relationship Id="rId108" Type="http://schemas.openxmlformats.org/officeDocument/2006/relationships/hyperlink" Target="https://likumi.lv/ta/en/en/id/163-advertising-law" TargetMode="External"/><Relationship Id="rId129" Type="http://schemas.openxmlformats.org/officeDocument/2006/relationships/hyperlink" Target="https://www.obs.coe.int/en/web/observatoire/avmsd-tracking" TargetMode="External"/><Relationship Id="rId54" Type="http://schemas.openxmlformats.org/officeDocument/2006/relationships/hyperlink" Target="https://likumi.lv/ta/en/en/id/163-advertising-law" TargetMode="External"/><Relationship Id="rId75" Type="http://schemas.openxmlformats.org/officeDocument/2006/relationships/hyperlink" Target="https://lra.lv/lv" TargetMode="External"/><Relationship Id="rId96" Type="http://schemas.openxmlformats.org/officeDocument/2006/relationships/hyperlink" Target="https://www.lra.lv/webroot/file/uploads/files/Etikas_kodekss_10122014.pdf" TargetMode="External"/><Relationship Id="rId140" Type="http://schemas.openxmlformats.org/officeDocument/2006/relationships/hyperlink" Target="https://eur-lex.europa.eu/legal-content/EN/TXT/?uri=celex%3A32006L0114" TargetMode="External"/><Relationship Id="rId161" Type="http://schemas.openxmlformats.org/officeDocument/2006/relationships/hyperlink" Target="https://eur-lex.europa.eu/eli/dir/2018/1808/oj" TargetMode="External"/><Relationship Id="rId182" Type="http://schemas.openxmlformats.org/officeDocument/2006/relationships/hyperlink" Target="https://www.reportlinker.com/clp/country/8480/726384" TargetMode="External"/><Relationship Id="rId6" Type="http://schemas.openxmlformats.org/officeDocument/2006/relationships/styles" Target="styles.xml"/><Relationship Id="rId23" Type="http://schemas.openxmlformats.org/officeDocument/2006/relationships/hyperlink" Target="http://www.lpia.lv/?id=191&amp;izd=2" TargetMode="External"/><Relationship Id="rId119" Type="http://schemas.openxmlformats.org/officeDocument/2006/relationships/hyperlink" Target="https://www.lra.lv/webroot/file/uploads/files/Etikas_kodekss_10122014.pdf" TargetMode="External"/><Relationship Id="rId44" Type="http://schemas.openxmlformats.org/officeDocument/2006/relationships/hyperlink" Target="https://likumi.lv/ta/en/en/id/23309-consumer-rights-protection-law" TargetMode="External"/><Relationship Id="rId65" Type="http://schemas.openxmlformats.org/officeDocument/2006/relationships/hyperlink" Target="https://likumi.lv/ta/id/352470" TargetMode="External"/><Relationship Id="rId86" Type="http://schemas.openxmlformats.org/officeDocument/2006/relationships/hyperlink" Target="https://eaca.eu/about-us/members-directory/" TargetMode="External"/><Relationship Id="rId130" Type="http://schemas.openxmlformats.org/officeDocument/2006/relationships/hyperlink" Target="https://eur-lex.europa.eu/legal-content/EN/TXT/?uri=celex%3A32005L0029" TargetMode="External"/><Relationship Id="rId151" Type="http://schemas.openxmlformats.org/officeDocument/2006/relationships/hyperlink" Target="https://eur-lex.europa.eu/legal-content/EN/TXT/?uri=celex%3A32005L0029" TargetMode="External"/><Relationship Id="rId172" Type="http://schemas.openxmlformats.org/officeDocument/2006/relationships/hyperlink" Target="https://www.dataguidance.com/opinion/eu-personalized-advertising-europe-and-legal" TargetMode="External"/><Relationship Id="rId13" Type="http://schemas.openxmlformats.org/officeDocument/2006/relationships/hyperlink" Target="https://www.cia.gov/the-world-factbook/countries/latvia/" TargetMode="External"/><Relationship Id="rId18" Type="http://schemas.openxmlformats.org/officeDocument/2006/relationships/hyperlink" Target="https://www.cia.gov/the-world-factbook/countries/latvia/" TargetMode="External"/><Relationship Id="rId39" Type="http://schemas.openxmlformats.org/officeDocument/2006/relationships/hyperlink" Target="https://likumi.lv/ta/id/334345-elektronisko-sakaru-likums" TargetMode="External"/><Relationship Id="rId109" Type="http://schemas.openxmlformats.org/officeDocument/2006/relationships/hyperlink" Target="https://likumi.lv/ta/en/en/id/167759-unfair-commercial-practices-prohibition-law" TargetMode="External"/><Relationship Id="rId34" Type="http://schemas.openxmlformats.org/officeDocument/2006/relationships/hyperlink" Target="https://merlin.obs.coe.int/article/9692" TargetMode="External"/><Relationship Id="rId50" Type="http://schemas.openxmlformats.org/officeDocument/2006/relationships/hyperlink" Target="https://www.lra.lv/" TargetMode="External"/><Relationship Id="rId55" Type="http://schemas.openxmlformats.org/officeDocument/2006/relationships/hyperlink" Target="https://likumi.lv/ta/en/en/id/167759-unfair-commercial-practices-prohibition-law" TargetMode="External"/><Relationship Id="rId76" Type="http://schemas.openxmlformats.org/officeDocument/2006/relationships/hyperlink" Target="https://www.lra.lv/lv/LRA/" TargetMode="External"/><Relationship Id="rId97" Type="http://schemas.openxmlformats.org/officeDocument/2006/relationships/hyperlink" Target="https://www.lra.lv/webroot/file/uploads/files/Etikas_kodekss_10122014.pdf" TargetMode="External"/><Relationship Id="rId104" Type="http://schemas.openxmlformats.org/officeDocument/2006/relationships/hyperlink" Target="https://eur-lex.europa.eu/legal-content/EN/TXT/?uri=celex%3A32005L0029" TargetMode="External"/><Relationship Id="rId120" Type="http://schemas.openxmlformats.org/officeDocument/2006/relationships/hyperlink" Target="https://www.lra.lv/webroot/file/uploads/files/Etikas_kodekss_10122014.pdf" TargetMode="External"/><Relationship Id="rId125" Type="http://schemas.openxmlformats.org/officeDocument/2006/relationships/hyperlink" Target="https://eur-lex.europa.eu/legal-content/EN/TXT/?uri=celex%3A32005L0029" TargetMode="External"/><Relationship Id="rId141" Type="http://schemas.openxmlformats.org/officeDocument/2006/relationships/hyperlink" Target="https://eur-lex.europa.eu/legal-content/EN/TXT/?uri=celex%3A32005L0029" TargetMode="External"/><Relationship Id="rId146" Type="http://schemas.openxmlformats.org/officeDocument/2006/relationships/hyperlink" Target="https://eur-lex.europa.eu/legal-content/EN/TXT/?uri=celex%3A32022R2065" TargetMode="External"/><Relationship Id="rId167" Type="http://schemas.openxmlformats.org/officeDocument/2006/relationships/hyperlink" Target="https://eur-lex.europa.eu/legal-content/EN/TXT/?uri=celex%3A32005L0029" TargetMode="External"/><Relationship Id="rId188"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lra.lv/lv" TargetMode="External"/><Relationship Id="rId92" Type="http://schemas.openxmlformats.org/officeDocument/2006/relationships/hyperlink" Target="http://www.lra.lv/" TargetMode="External"/><Relationship Id="rId162" Type="http://schemas.openxmlformats.org/officeDocument/2006/relationships/hyperlink" Target="https://likumi.lv/ta/en/en/id/214039-electronic-mass-media-law" TargetMode="External"/><Relationship Id="rId183" Type="http://schemas.openxmlformats.org/officeDocument/2006/relationships/hyperlink" Target="https://cadmus.eui.eu/handle/1814/74695" TargetMode="External"/><Relationship Id="rId2" Type="http://schemas.openxmlformats.org/officeDocument/2006/relationships/customXml" Target="../customXml/item2.xml"/><Relationship Id="rId29" Type="http://schemas.openxmlformats.org/officeDocument/2006/relationships/hyperlink" Target="https://european-union.europa.eu/principles-countries-history/country-profiles/latvia_en" TargetMode="External"/><Relationship Id="rId24" Type="http://schemas.openxmlformats.org/officeDocument/2006/relationships/hyperlink" Target="https://www.statista.com/outlook/amo/media/newspapers-magazines/latvia" TargetMode="External"/><Relationship Id="rId40" Type="http://schemas.openxmlformats.org/officeDocument/2006/relationships/hyperlink" Target="https://likumi.lv/ta/en/en/id/319096-law-on-public-electronic-mass-media-and-administration-thereof" TargetMode="External"/><Relationship Id="rId45" Type="http://schemas.openxmlformats.org/officeDocument/2006/relationships/hyperlink" Target="https://www.neplp.lv/en?utm_source=https%3A%2F%2Fwww.google.com%2F" TargetMode="External"/><Relationship Id="rId66" Type="http://schemas.openxmlformats.org/officeDocument/2006/relationships/hyperlink" Target="https://likumi.lv/ta/en/en/id/167759-unfair-commercial-practices-prohibition-law" TargetMode="External"/><Relationship Id="rId87" Type="http://schemas.openxmlformats.org/officeDocument/2006/relationships/hyperlink" Target="http://www.lpia.lv/eng/?id=45" TargetMode="External"/><Relationship Id="rId110" Type="http://schemas.openxmlformats.org/officeDocument/2006/relationships/hyperlink" Target="https://likumi.lv/ta/id/339525" TargetMode="External"/><Relationship Id="rId115" Type="http://schemas.openxmlformats.org/officeDocument/2006/relationships/hyperlink" Target="https://eur-lex.europa.eu/legal-content/EN/TXT/?uri=celex%3A32005L0029" TargetMode="External"/><Relationship Id="rId131" Type="http://schemas.openxmlformats.org/officeDocument/2006/relationships/hyperlink" Target="https://likumi.lv/ta/en/en/id/163-advertising-law" TargetMode="External"/><Relationship Id="rId136" Type="http://schemas.openxmlformats.org/officeDocument/2006/relationships/hyperlink" Target="https://eur-lex.europa.eu/legal-content/EN/TXT/?uri=celex%3A32005L0029" TargetMode="External"/><Relationship Id="rId157" Type="http://schemas.openxmlformats.org/officeDocument/2006/relationships/hyperlink" Target="https://eur-lex.europa.eu/legal-content/EN/TXT/?uri=celex%3A32005L0029" TargetMode="External"/><Relationship Id="rId178" Type="http://schemas.openxmlformats.org/officeDocument/2006/relationships/hyperlink" Target="https://www.lra.lv/lv/LRA" TargetMode="External"/><Relationship Id="rId61" Type="http://schemas.openxmlformats.org/officeDocument/2006/relationships/hyperlink" Target="https://eur-lex.europa.eu/legal-content/EN/ALL/?uri=celex%3A32000L0031" TargetMode="External"/><Relationship Id="rId82" Type="http://schemas.openxmlformats.org/officeDocument/2006/relationships/hyperlink" Target="https://www.lra.lv/webroot/file/uploads/files/Etikas_kodekss_10122014.pdf" TargetMode="External"/><Relationship Id="rId152" Type="http://schemas.openxmlformats.org/officeDocument/2006/relationships/hyperlink" Target="https://ec.europa.eu/commission/presscorner/detail/en/ip_24_708" TargetMode="External"/><Relationship Id="rId173" Type="http://schemas.openxmlformats.org/officeDocument/2006/relationships/hyperlink" Target="https://ec.europa.eu/commission/presscorner/detail/en/ip_24_708" TargetMode="External"/><Relationship Id="rId19" Type="http://schemas.openxmlformats.org/officeDocument/2006/relationships/hyperlink" Target="https://www.cia.gov/the-world-factbook/countries/latvia/" TargetMode="External"/><Relationship Id="rId14" Type="http://schemas.openxmlformats.org/officeDocument/2006/relationships/hyperlink" Target="https://www.cia.gov/the-world-factbook/countries/latvia/" TargetMode="External"/><Relationship Id="rId30" Type="http://schemas.openxmlformats.org/officeDocument/2006/relationships/hyperlink" Target="https://eur-lex.europa.eu/eli/dir/2018/1808/oj" TargetMode="External"/><Relationship Id="rId35" Type="http://schemas.openxmlformats.org/officeDocument/2006/relationships/hyperlink" Target="https://eur-lex.europa.eu/eli/reg/2016/679/oj" TargetMode="External"/><Relationship Id="rId56" Type="http://schemas.openxmlformats.org/officeDocument/2006/relationships/hyperlink" Target="https://eur-lex.europa.eu/legal-content/EN/TXT/?uri=celex%3A32006L0114" TargetMode="External"/><Relationship Id="rId77" Type="http://schemas.openxmlformats.org/officeDocument/2006/relationships/hyperlink" Target="https://lra.lv/lv" TargetMode="External"/><Relationship Id="rId100" Type="http://schemas.openxmlformats.org/officeDocument/2006/relationships/hyperlink" Target="https://www.lra.lv/webroot/file/uploads/files/Etikas_kodekss_10122014.pdf" TargetMode="External"/><Relationship Id="rId105" Type="http://schemas.openxmlformats.org/officeDocument/2006/relationships/hyperlink" Target="https://eur-lex.europa.eu/legal-content/EN/TXT/?uri=celex%3A32006L0114" TargetMode="External"/><Relationship Id="rId126" Type="http://schemas.openxmlformats.org/officeDocument/2006/relationships/hyperlink" Target="https://eur-lex.europa.eu/legal-content/EN/TXT/?uri=celex%3A32006L0114" TargetMode="External"/><Relationship Id="rId147" Type="http://schemas.openxmlformats.org/officeDocument/2006/relationships/hyperlink" Target="https://eur-lex.europa.eu/eli/reg/2016/679/oj" TargetMode="External"/><Relationship Id="rId168" Type="http://schemas.openxmlformats.org/officeDocument/2006/relationships/hyperlink" Target="https://eur-lex.europa.eu/legal-content/EN/TXT/?uri=celex%3A32005L0029" TargetMode="External"/><Relationship Id="rId8" Type="http://schemas.openxmlformats.org/officeDocument/2006/relationships/webSettings" Target="webSettings.xml"/><Relationship Id="rId51" Type="http://schemas.openxmlformats.org/officeDocument/2006/relationships/hyperlink" Target="https://www.lra.lv/webroot/file/uploads/files/Etikas_kodekss_10122014.pdf" TargetMode="External"/><Relationship Id="rId72" Type="http://schemas.openxmlformats.org/officeDocument/2006/relationships/hyperlink" Target="https://www.lra.lv/webroot/file/uploads/files/Etikas_kodekss_10122014.pdf" TargetMode="External"/><Relationship Id="rId93" Type="http://schemas.openxmlformats.org/officeDocument/2006/relationships/hyperlink" Target="https://www.lra.lv/webroot/file/uploads/files/Etikas_kodekss_10122014.pdf" TargetMode="External"/><Relationship Id="rId98" Type="http://schemas.openxmlformats.org/officeDocument/2006/relationships/hyperlink" Target="https://www.lra.lv/webroot/file/uploads/files/Etikas_kodekss_10122014.pdf" TargetMode="External"/><Relationship Id="rId121" Type="http://schemas.openxmlformats.org/officeDocument/2006/relationships/hyperlink" Target="https://eur-lex.europa.eu/legal-content/EN/TXT/?uri=celex%3A32005L0029" TargetMode="External"/><Relationship Id="rId142" Type="http://schemas.openxmlformats.org/officeDocument/2006/relationships/hyperlink" Target="https://eur-lex.europa.eu/eli/dir/2019/2161/oj" TargetMode="External"/><Relationship Id="rId163" Type="http://schemas.openxmlformats.org/officeDocument/2006/relationships/hyperlink" Target="https://eur-lex.europa.eu/legal-content/EN/ALL/?uri=celex%3A32000L0031" TargetMode="External"/><Relationship Id="rId184" Type="http://schemas.openxmlformats.org/officeDocument/2006/relationships/hyperlink" Target="https://cadmus.eui.eu/bitstream/handle/1814/75728/Latvia_results_mpm_2023_cmpf%20%281%29.pdf?sequence=1&amp;isAllowed=y" TargetMode="External"/><Relationship Id="rId189"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hyperlink" Target="https://www.em.gov.lv/en/article/almost-3-million-euros-additional-funding-foreign-film-production-latvia?utm_source=https%3A%2F%2Fwww.perplexity.ai%2F" TargetMode="External"/><Relationship Id="rId46" Type="http://schemas.openxmlformats.org/officeDocument/2006/relationships/hyperlink" Target="https://www.seplp.lv/lv" TargetMode="External"/><Relationship Id="rId67" Type="http://schemas.openxmlformats.org/officeDocument/2006/relationships/hyperlink" Target="https://likumi.lv/ta/id/339525" TargetMode="External"/><Relationship Id="rId116" Type="http://schemas.openxmlformats.org/officeDocument/2006/relationships/hyperlink" Target="https://eur-lex.europa.eu/legal-content/EN/TXT/?uri=celex%3A32005L0029" TargetMode="External"/><Relationship Id="rId137" Type="http://schemas.openxmlformats.org/officeDocument/2006/relationships/hyperlink" Target="https://eur-lex.europa.eu/legal-content/EN/TXT/?uri=celex%3A32006L0114" TargetMode="External"/><Relationship Id="rId158" Type="http://schemas.openxmlformats.org/officeDocument/2006/relationships/hyperlink" Target="https://likumi.lv/ta/en/en/id/163-advertising-law" TargetMode="External"/><Relationship Id="rId20" Type="http://schemas.openxmlformats.org/officeDocument/2006/relationships/hyperlink" Target="https://www.cia.gov/the-world-factbook/countries/latvia/" TargetMode="External"/><Relationship Id="rId41" Type="http://schemas.openxmlformats.org/officeDocument/2006/relationships/hyperlink" Target="https://likumi.lv/ta/id/349532" TargetMode="External"/><Relationship Id="rId62" Type="http://schemas.openxmlformats.org/officeDocument/2006/relationships/hyperlink" Target="https://eur-lex.europa.eu/eli/reg/2016/679/oj" TargetMode="External"/><Relationship Id="rId83" Type="http://schemas.openxmlformats.org/officeDocument/2006/relationships/hyperlink" Target="https://www.toyassociation.org/App_Themes/toyassociation_resp/downloads/advocacy/safety/icc-response-iso-proposal-020621.pdf" TargetMode="External"/><Relationship Id="rId88" Type="http://schemas.openxmlformats.org/officeDocument/2006/relationships/hyperlink" Target="https://iabeurope.eu/blog/interactive-advertising-association-iab-baltics-launches-in-the-baltics/" TargetMode="External"/><Relationship Id="rId111" Type="http://schemas.openxmlformats.org/officeDocument/2006/relationships/hyperlink" Target="https://likumi.lv/ta/en/en/id/167759-unfair-commercial-practices-prohibition-law" TargetMode="External"/><Relationship Id="rId132" Type="http://schemas.openxmlformats.org/officeDocument/2006/relationships/hyperlink" Target="https://likumi.lv/ta/en/en/id/167759-unfair-commercial-practices-prohibition-law" TargetMode="External"/><Relationship Id="rId153" Type="http://schemas.openxmlformats.org/officeDocument/2006/relationships/hyperlink" Target="https://eur-lex.europa.eu/legal-content/EN/TXT/?uri=celex%3A32022R2065" TargetMode="External"/><Relationship Id="rId174" Type="http://schemas.openxmlformats.org/officeDocument/2006/relationships/hyperlink" Target="https://routledge.pub/branded-content" TargetMode="External"/><Relationship Id="rId179" Type="http://schemas.openxmlformats.org/officeDocument/2006/relationships/hyperlink" Target="https://www.lra.lv/webroot/file/uploads/files/Etikas_kodekss_10122014.pdf" TargetMode="External"/><Relationship Id="rId190" Type="http://schemas.openxmlformats.org/officeDocument/2006/relationships/theme" Target="theme/theme1.xml"/><Relationship Id="rId15" Type="http://schemas.openxmlformats.org/officeDocument/2006/relationships/hyperlink" Target="https://data.worldbank.org/country/latvia" TargetMode="External"/><Relationship Id="rId36" Type="http://schemas.openxmlformats.org/officeDocument/2006/relationships/hyperlink" Target="https://eur-lex.europa.eu/legal-content/EN/TXT/?uri=celex%3A32022R2065" TargetMode="External"/><Relationship Id="rId57" Type="http://schemas.openxmlformats.org/officeDocument/2006/relationships/hyperlink" Target="https://eur-lex.europa.eu/legal-content/EN/TXT/?uri=celex%3A32005L0029" TargetMode="External"/><Relationship Id="rId106" Type="http://schemas.openxmlformats.org/officeDocument/2006/relationships/hyperlink" Target="https://eur-lex.europa.eu/legal-content/EN/TXT/?uri=celex%3A32006L0114" TargetMode="External"/><Relationship Id="rId127" Type="http://schemas.openxmlformats.org/officeDocument/2006/relationships/hyperlink" Target="https://eur-lex.europa.eu/eli/dir/2018/1808/oj" TargetMode="External"/><Relationship Id="rId10" Type="http://schemas.openxmlformats.org/officeDocument/2006/relationships/endnotes" Target="endnotes.xml"/><Relationship Id="rId31" Type="http://schemas.openxmlformats.org/officeDocument/2006/relationships/hyperlink" Target="https://www.obs.coe.int/en/web/observatoire/avmsd-tracking" TargetMode="External"/><Relationship Id="rId52" Type="http://schemas.openxmlformats.org/officeDocument/2006/relationships/hyperlink" Target="https://eur-lex.europa.eu/legal-content/EN/TXT/?uri=celex%3A32006L0114" TargetMode="External"/><Relationship Id="rId73" Type="http://schemas.openxmlformats.org/officeDocument/2006/relationships/hyperlink" Target="https://lra.lv/lv" TargetMode="External"/><Relationship Id="rId78" Type="http://schemas.openxmlformats.org/officeDocument/2006/relationships/hyperlink" Target="https://jauns.lv/raksts/bizness/606496-foto-latvijas-reklamas-asociacija-svin-30-gadu-jubileju" TargetMode="External"/><Relationship Id="rId94" Type="http://schemas.openxmlformats.org/officeDocument/2006/relationships/hyperlink" Target="https://www.lra.lv/webroot/file/uploads/files/Etikas_kodekss_10122014.pdf" TargetMode="External"/><Relationship Id="rId99" Type="http://schemas.openxmlformats.org/officeDocument/2006/relationships/hyperlink" Target="https://www.lra.lv/webroot/file/uploads/files/Etikas_kodekss_10122014.pdf" TargetMode="External"/><Relationship Id="rId101" Type="http://schemas.openxmlformats.org/officeDocument/2006/relationships/hyperlink" Target="https://eur-lex.europa.eu/legal-content/EN/TXT/?uri=celex%3A32005L0029" TargetMode="External"/><Relationship Id="rId122" Type="http://schemas.openxmlformats.org/officeDocument/2006/relationships/hyperlink" Target="https://eur-lex.europa.eu/legal-content/EN/TXT/?uri=celex%3A32006L0114" TargetMode="External"/><Relationship Id="rId143" Type="http://schemas.openxmlformats.org/officeDocument/2006/relationships/hyperlink" Target="https://eur-lex.europa.eu/eli/dir/2019/2161/oj" TargetMode="External"/><Relationship Id="rId148" Type="http://schemas.openxmlformats.org/officeDocument/2006/relationships/hyperlink" Target="https://eur-lex.europa.eu/eli/reg/2022/868/oj" TargetMode="External"/><Relationship Id="rId164" Type="http://schemas.openxmlformats.org/officeDocument/2006/relationships/hyperlink" Target="https://www.dataguidance.com/opinion/eu-personalized-advertising-europe-and-legal" TargetMode="External"/><Relationship Id="rId169" Type="http://schemas.openxmlformats.org/officeDocument/2006/relationships/hyperlink" Target="https://eur-lex.europa.eu/legal-content/EN/TXT/?uri=celex%3A32006L0114" TargetMode="External"/><Relationship Id="rId185" Type="http://schemas.openxmlformats.org/officeDocument/2006/relationships/hyperlink" Target="https://www.scl.org/european-commission-and-consumer-authorities-investigate-online-influencers/"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www.lpia.lv/eng/?id=45" TargetMode="External"/><Relationship Id="rId26" Type="http://schemas.openxmlformats.org/officeDocument/2006/relationships/hyperlink" Target="https://www.neplp.lv/lv/programmas-2" TargetMode="External"/><Relationship Id="rId47" Type="http://schemas.openxmlformats.org/officeDocument/2006/relationships/hyperlink" Target="https://www.lmepadome.lv/home/" TargetMode="External"/><Relationship Id="rId68" Type="http://schemas.openxmlformats.org/officeDocument/2006/relationships/hyperlink" Target="https://likumi.lv/ta/en/en/id/96619-law-on-information-society-services" TargetMode="External"/><Relationship Id="rId89" Type="http://schemas.openxmlformats.org/officeDocument/2006/relationships/hyperlink" Target="http://www.tvradio.lv/" TargetMode="External"/><Relationship Id="rId112" Type="http://schemas.openxmlformats.org/officeDocument/2006/relationships/hyperlink" Target="https://www.lra.lv/webroot/file/uploads/files/Etikas_kodekss_10122014.pdf" TargetMode="External"/><Relationship Id="rId133" Type="http://schemas.openxmlformats.org/officeDocument/2006/relationships/hyperlink" Target="https://likumi.lv/ta/id/339525" TargetMode="External"/><Relationship Id="rId154" Type="http://schemas.openxmlformats.org/officeDocument/2006/relationships/hyperlink" Target="https://eur-lex.europa.eu/legal-content/EN/TXT/?uri=celex%3A32005L0029" TargetMode="External"/><Relationship Id="rId175" Type="http://schemas.openxmlformats.org/officeDocument/2006/relationships/hyperlink" Target="https://iabeurope.eu/blog/interactive-advertising-association-iab-baltics-launches-in-the-baltics/" TargetMode="External"/><Relationship Id="rId16" Type="http://schemas.openxmlformats.org/officeDocument/2006/relationships/hyperlink" Target="https://www.cia.gov/the-world-factbook/countries/latvia/" TargetMode="External"/><Relationship Id="rId37" Type="http://schemas.openxmlformats.org/officeDocument/2006/relationships/hyperlink" Target="https://likumi.lv/ta/en/en/id/64879-on-the-press-and-other-mass-media" TargetMode="External"/><Relationship Id="rId58" Type="http://schemas.openxmlformats.org/officeDocument/2006/relationships/hyperlink" Target="https://eur-lex.europa.eu/eli/dir/2018/1808/oj" TargetMode="External"/><Relationship Id="rId79" Type="http://schemas.openxmlformats.org/officeDocument/2006/relationships/hyperlink" Target="https://www.lra.lv/webroot/file/uploads/files/Etikas_kodekss_10122014.pdf" TargetMode="External"/><Relationship Id="rId102" Type="http://schemas.openxmlformats.org/officeDocument/2006/relationships/hyperlink" Target="https://eur-lex.europa.eu/legal-content/EN/TXT/?uri=celex%3A32006L0114" TargetMode="External"/><Relationship Id="rId123" Type="http://schemas.openxmlformats.org/officeDocument/2006/relationships/hyperlink" Target="https://eur-lex.europa.eu/legal-content/EN/TXT/?uri=celex%3A32005L0029" TargetMode="External"/><Relationship Id="rId144" Type="http://schemas.openxmlformats.org/officeDocument/2006/relationships/hyperlink" Target="https://eur-lex.europa.eu/legal-content/EN/TXT/?uri=celex%3A32022R2065" TargetMode="External"/><Relationship Id="rId90" Type="http://schemas.openxmlformats.org/officeDocument/2006/relationships/hyperlink" Target="http://www.lpia.lv/" TargetMode="External"/><Relationship Id="rId165" Type="http://schemas.openxmlformats.org/officeDocument/2006/relationships/hyperlink" Target="https://eur-lex.europa.eu/legal-content/EN/TXT/?uri=celex%3A32005L0029" TargetMode="External"/><Relationship Id="rId186" Type="http://schemas.openxmlformats.org/officeDocument/2006/relationships/hyperlink" Target="https://datatopics.worldbank.org/world-development-indicators/the-world-by-income-and-region.html" TargetMode="External"/><Relationship Id="rId27" Type="http://schemas.openxmlformats.org/officeDocument/2006/relationships/hyperlink" Target="https://www.reportlinker.com/clp/country/8480/726384" TargetMode="External"/><Relationship Id="rId48" Type="http://schemas.openxmlformats.org/officeDocument/2006/relationships/hyperlink" Target="https://likumi.lv/ta/en/en/id/163-advertising-law" TargetMode="External"/><Relationship Id="rId69" Type="http://schemas.openxmlformats.org/officeDocument/2006/relationships/hyperlink" Target="https://likumi.lv/ta/en/en/id/214039-electronic-mass-media-law" TargetMode="External"/><Relationship Id="rId113" Type="http://schemas.openxmlformats.org/officeDocument/2006/relationships/hyperlink" Target="https://eur-lex.europa.eu/legal-content/EN/TXT/?uri=celex%3A32005L0029" TargetMode="External"/><Relationship Id="rId134" Type="http://schemas.openxmlformats.org/officeDocument/2006/relationships/hyperlink" Target="https://eur-lex.europa.eu/eli/dir/2018/1808/oj" TargetMode="External"/><Relationship Id="rId80" Type="http://schemas.openxmlformats.org/officeDocument/2006/relationships/hyperlink" Target="https://www.lra.lv/webroot/file/uploads/files/Etikas_kodekss_10122014.pdf" TargetMode="External"/><Relationship Id="rId155" Type="http://schemas.openxmlformats.org/officeDocument/2006/relationships/hyperlink" Target="https://eur-lex.europa.eu/eli/dir/2018/1808/oj" TargetMode="External"/><Relationship Id="rId176" Type="http://schemas.openxmlformats.org/officeDocument/2006/relationships/hyperlink" Target="https://www.toyassociation.org/App_Themes/toyassociation_resp/downloads/advocacy/safety/icc-response-iso-proposal-020621.pdf" TargetMode="External"/><Relationship Id="rId17" Type="http://schemas.openxmlformats.org/officeDocument/2006/relationships/hyperlink" Target="https://www.cia.gov/the-world-factbook/countries/latvia/" TargetMode="External"/><Relationship Id="rId38" Type="http://schemas.openxmlformats.org/officeDocument/2006/relationships/hyperlink" Target="https://likumi.lv/ta/en/en/id/214039-electronic-mass-media-law" TargetMode="External"/><Relationship Id="rId59" Type="http://schemas.openxmlformats.org/officeDocument/2006/relationships/hyperlink" Target="https://likumi.lv/ta/en/en/id/214039-electronic-mass-media-law" TargetMode="External"/><Relationship Id="rId103" Type="http://schemas.openxmlformats.org/officeDocument/2006/relationships/hyperlink" Target="https://eur-lex.europa.eu/legal-content/EN/TXT/?uri=celex%3A32005L0029" TargetMode="External"/><Relationship Id="rId124" Type="http://schemas.openxmlformats.org/officeDocument/2006/relationships/hyperlink" Target="https://eur-lex.europa.eu/legal-content/EN/TXT/?uri=celex%3A32005L0029" TargetMode="External"/><Relationship Id="rId70" Type="http://schemas.openxmlformats.org/officeDocument/2006/relationships/hyperlink" Target="https://likumi.lv/ta/en/en/id/300099-personal-data-processing-law" TargetMode="External"/><Relationship Id="rId91" Type="http://schemas.openxmlformats.org/officeDocument/2006/relationships/hyperlink" Target="http://www.latvijaszurnalisti.lv/" TargetMode="External"/><Relationship Id="rId145" Type="http://schemas.openxmlformats.org/officeDocument/2006/relationships/hyperlink" Target="https://eur-lex.europa.eu/legal-content/EN/TXT/?uri=celex%3A32022R2065" TargetMode="External"/><Relationship Id="rId166" Type="http://schemas.openxmlformats.org/officeDocument/2006/relationships/hyperlink" Target="https://eur-lex.europa.eu/legal-content/EN/TXT/?uri=celex%3A32006L0114" TargetMode="External"/><Relationship Id="rId187" Type="http://schemas.openxmlformats.org/officeDocument/2006/relationships/header" Target="header1.xml"/><Relationship Id="rId1" Type="http://schemas.openxmlformats.org/officeDocument/2006/relationships/customXml" Target="../customXml/item1.xml"/><Relationship Id="rId28" Type="http://schemas.openxmlformats.org/officeDocument/2006/relationships/hyperlink" Target="https://www.statista.com/outlook/dmo/digital-advertising/latvia" TargetMode="External"/><Relationship Id="rId49" Type="http://schemas.openxmlformats.org/officeDocument/2006/relationships/hyperlink" Target="https://likumi.lv/ta/en/en/id/163-advertising-law" TargetMode="External"/><Relationship Id="rId114" Type="http://schemas.openxmlformats.org/officeDocument/2006/relationships/hyperlink" Target="https://likumi.lv/ta/en/en/id/167759-unfair-commercial-practices-prohibition-law" TargetMode="External"/><Relationship Id="rId60" Type="http://schemas.openxmlformats.org/officeDocument/2006/relationships/hyperlink" Target="https://www.obs.coe.int/en/web/observatoire/avmsd-tracking" TargetMode="External"/><Relationship Id="rId81" Type="http://schemas.openxmlformats.org/officeDocument/2006/relationships/hyperlink" Target="https://www.lra.lv/webroot/file/uploads/files/Etikas_kodekss_10122014.pdf" TargetMode="External"/><Relationship Id="rId135" Type="http://schemas.openxmlformats.org/officeDocument/2006/relationships/hyperlink" Target="https://likumi.lv/ta/en/en/id/214039-electronic-mass-media-law" TargetMode="External"/><Relationship Id="rId156" Type="http://schemas.openxmlformats.org/officeDocument/2006/relationships/hyperlink" Target="https://www.scl.org/european-commission-and-consumer-authorities-investigate-online-influencers/" TargetMode="External"/><Relationship Id="rId177" Type="http://schemas.openxmlformats.org/officeDocument/2006/relationships/hyperlink" Target="https://jauns.lv/raksts/bizness/606496-foto-latvijas-reklamas-asociacija-svin-30-gadu-jubileju"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34ED92-3A2D-4F26-A87D-E92AA502D627}">
  <ds:schemaRefs>
    <ds:schemaRef ds:uri="http://schemas.microsoft.com/sharepoint/v3/contenttype/forms"/>
  </ds:schemaRefs>
</ds:datastoreItem>
</file>

<file path=customXml/itemProps2.xml><?xml version="1.0" encoding="utf-8"?>
<ds:datastoreItem xmlns:ds="http://schemas.openxmlformats.org/officeDocument/2006/customXml" ds:itemID="{24A30CAC-C81A-48EF-9240-90C6ACC5CF4A}">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3.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4.xml><?xml version="1.0" encoding="utf-8"?>
<ds:datastoreItem xmlns:ds="http://schemas.openxmlformats.org/officeDocument/2006/customXml" ds:itemID="{7EC75CDE-67DF-45F5-9BEB-0BE4C26497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.~WRD0002</Template>
  <TotalTime>2</TotalTime>
  <Pages>30</Pages>
  <Words>10754</Words>
  <Characters>61300</Characters>
  <Application>Microsoft Office Word</Application>
  <DocSecurity>0</DocSecurity>
  <Lines>510</Lines>
  <Paragraphs>143</Paragraphs>
  <ScaleCrop>false</ScaleCrop>
  <Company/>
  <LinksUpToDate>false</LinksUpToDate>
  <CharactersWithSpaces>71911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6</cp:revision>
  <cp:lastPrinted>2024-05-13T12:36:00Z</cp:lastPrinted>
  <dcterms:created xsi:type="dcterms:W3CDTF">2024-06-25T12:58:00Z</dcterms:created>
  <dcterms:modified xsi:type="dcterms:W3CDTF">2024-06-26T10:49:00Z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